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E4D" w:rsidRDefault="003D4E4D" w:rsidP="00B82BDF">
      <w:pPr>
        <w:pStyle w:val="Heading1"/>
        <w:numPr>
          <w:ilvl w:val="0"/>
          <w:numId w:val="0"/>
        </w:numPr>
        <w:rPr>
          <w:color w:val="C00000"/>
          <w:sz w:val="36"/>
          <w:szCs w:val="36"/>
        </w:rPr>
      </w:pPr>
      <w:r>
        <w:rPr>
          <w:noProof/>
          <w:color w:val="C00000"/>
          <w:sz w:val="36"/>
          <w:szCs w:val="36"/>
        </w:rPr>
        <w:drawing>
          <wp:inline distT="0" distB="0" distL="0" distR="0">
            <wp:extent cx="1781175" cy="477174"/>
            <wp:effectExtent l="19050" t="0" r="0" b="0"/>
            <wp:docPr id="1" name="Picture 0" descr="STLogotype-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ogotype-GY.jpg"/>
                    <pic:cNvPicPr/>
                  </pic:nvPicPr>
                  <pic:blipFill>
                    <a:blip r:embed="rId7" cstate="print"/>
                    <a:stretch>
                      <a:fillRect/>
                    </a:stretch>
                  </pic:blipFill>
                  <pic:spPr>
                    <a:xfrm>
                      <a:off x="0" y="0"/>
                      <a:ext cx="1776940" cy="476040"/>
                    </a:xfrm>
                    <a:prstGeom prst="rect">
                      <a:avLst/>
                    </a:prstGeom>
                  </pic:spPr>
                </pic:pic>
              </a:graphicData>
            </a:graphic>
          </wp:inline>
        </w:drawing>
      </w:r>
    </w:p>
    <w:p w:rsidR="00077AFA" w:rsidRPr="00077AFA" w:rsidRDefault="00077AFA" w:rsidP="00077AFA"/>
    <w:p w:rsidR="000C296F" w:rsidRPr="00CA125B" w:rsidRDefault="00CA125B" w:rsidP="000C296F">
      <w:pPr>
        <w:pStyle w:val="NoSpacing"/>
        <w:jc w:val="center"/>
        <w:rPr>
          <w:b/>
          <w:sz w:val="36"/>
          <w:szCs w:val="36"/>
        </w:rPr>
      </w:pPr>
      <w:r>
        <w:rPr>
          <w:b/>
          <w:sz w:val="36"/>
          <w:szCs w:val="36"/>
        </w:rPr>
        <w:t xml:space="preserve">Product </w:t>
      </w:r>
      <w:r w:rsidR="000C296F" w:rsidRPr="00CA125B">
        <w:rPr>
          <w:b/>
          <w:sz w:val="36"/>
          <w:szCs w:val="36"/>
        </w:rPr>
        <w:t>Specification</w:t>
      </w:r>
    </w:p>
    <w:p w:rsidR="00CA125B" w:rsidRPr="00CA125B" w:rsidRDefault="00CA125B" w:rsidP="00CA125B">
      <w:pPr>
        <w:pStyle w:val="NoSpacing"/>
        <w:rPr>
          <w:b/>
          <w:sz w:val="36"/>
          <w:szCs w:val="36"/>
        </w:rPr>
      </w:pPr>
      <w:r w:rsidRPr="00CA125B">
        <w:rPr>
          <w:b/>
          <w:sz w:val="36"/>
          <w:szCs w:val="36"/>
        </w:rPr>
        <w:t>DOT Series LED Blank-out Sign in IP66/NEMA 4X Cabinet</w:t>
      </w:r>
    </w:p>
    <w:p w:rsidR="00077AFA" w:rsidRPr="00CA125B" w:rsidRDefault="00CA125B" w:rsidP="000C296F">
      <w:pPr>
        <w:jc w:val="center"/>
        <w:rPr>
          <w:b/>
          <w:sz w:val="36"/>
          <w:szCs w:val="36"/>
        </w:rPr>
      </w:pPr>
      <w:r>
        <w:rPr>
          <w:b/>
          <w:sz w:val="36"/>
          <w:szCs w:val="36"/>
        </w:rPr>
        <w:t>January 2016</w:t>
      </w:r>
    </w:p>
    <w:p w:rsidR="00CA125B" w:rsidRDefault="00CA125B" w:rsidP="00CA125B">
      <w:pPr>
        <w:pStyle w:val="ListParagraph"/>
        <w:numPr>
          <w:ilvl w:val="0"/>
          <w:numId w:val="7"/>
        </w:numPr>
      </w:pPr>
      <w:r w:rsidRPr="00BC0BCA">
        <w:t>Construction and Operation</w:t>
      </w:r>
    </w:p>
    <w:p w:rsidR="00CA125B" w:rsidRPr="00BC0BCA" w:rsidRDefault="00CA125B" w:rsidP="00CA125B">
      <w:pPr>
        <w:pStyle w:val="ListParagraph"/>
        <w:numPr>
          <w:ilvl w:val="0"/>
          <w:numId w:val="7"/>
        </w:numPr>
      </w:pPr>
      <w:r w:rsidRPr="00BC0BCA">
        <w:t>Cabinet Housing</w:t>
      </w:r>
    </w:p>
    <w:p w:rsidR="00CA125B" w:rsidRPr="00A45769" w:rsidRDefault="00CA125B" w:rsidP="00CA125B">
      <w:pPr>
        <w:pStyle w:val="ListParagraph"/>
        <w:numPr>
          <w:ilvl w:val="1"/>
          <w:numId w:val="7"/>
        </w:numPr>
      </w:pPr>
      <w:r w:rsidRPr="00A45769">
        <w:t xml:space="preserve">Right, left, rear and front cabinet walls shall </w:t>
      </w:r>
      <w:r>
        <w:t>be oriented</w:t>
      </w:r>
      <w:r w:rsidRPr="00A45769">
        <w:t xml:space="preserve"> vertical</w:t>
      </w:r>
      <w:r>
        <w:t>ly</w:t>
      </w:r>
      <w:r w:rsidRPr="00A45769">
        <w:t xml:space="preserve">. The top and bottom sides </w:t>
      </w:r>
      <w:r>
        <w:t>shall be oriented horizontally.</w:t>
      </w:r>
      <w:r w:rsidRPr="00A45769">
        <w:t xml:space="preserve"> (Except when noted for </w:t>
      </w:r>
      <w:r>
        <w:t>“</w:t>
      </w:r>
      <w:r w:rsidRPr="00A45769">
        <w:t>diamond</w:t>
      </w:r>
      <w:r>
        <w:t>”</w:t>
      </w:r>
      <w:r w:rsidRPr="00A45769">
        <w:t xml:space="preserve"> signs.)</w:t>
      </w:r>
    </w:p>
    <w:p w:rsidR="00CA125B" w:rsidRPr="00A45769" w:rsidRDefault="00CA125B" w:rsidP="00CA125B">
      <w:pPr>
        <w:pStyle w:val="ListParagraph"/>
        <w:numPr>
          <w:ilvl w:val="1"/>
          <w:numId w:val="7"/>
        </w:numPr>
      </w:pPr>
      <w:r w:rsidRPr="00A45769">
        <w:t>Cabinet shall protect internal components from rain, ice, and dust</w:t>
      </w:r>
    </w:p>
    <w:p w:rsidR="00CA125B" w:rsidRPr="00A45769" w:rsidRDefault="00CA125B" w:rsidP="00CA125B">
      <w:pPr>
        <w:pStyle w:val="ListParagraph"/>
        <w:numPr>
          <w:ilvl w:val="1"/>
          <w:numId w:val="7"/>
        </w:numPr>
      </w:pPr>
      <w:r>
        <w:t>Primary c</w:t>
      </w:r>
      <w:r w:rsidRPr="00A45769">
        <w:t>abinet structure shall consist of 0.125” thick 6063-T6 aluminum alloy.</w:t>
      </w:r>
    </w:p>
    <w:p w:rsidR="00CA125B" w:rsidRPr="00A45769" w:rsidRDefault="00CA125B" w:rsidP="00CA125B">
      <w:pPr>
        <w:pStyle w:val="ListParagraph"/>
        <w:numPr>
          <w:ilvl w:val="1"/>
          <w:numId w:val="7"/>
        </w:numPr>
      </w:pPr>
      <w:r w:rsidRPr="00A45769">
        <w:t>External hardware shall be fabricated from s</w:t>
      </w:r>
      <w:r>
        <w:t>tainless steel suitable for out</w:t>
      </w:r>
      <w:r w:rsidRPr="00A45769">
        <w:t>door sign applications.</w:t>
      </w:r>
    </w:p>
    <w:p w:rsidR="00CA125B" w:rsidRPr="00A45769" w:rsidRDefault="00CA125B" w:rsidP="00CA125B">
      <w:pPr>
        <w:pStyle w:val="ListParagraph"/>
        <w:numPr>
          <w:ilvl w:val="1"/>
          <w:numId w:val="7"/>
        </w:numPr>
      </w:pPr>
      <w:r w:rsidRPr="00A45769">
        <w:t>Structural assembly hardw</w:t>
      </w:r>
      <w:r>
        <w:t>are shall be stainless steel, aluminum, or galvanized steel</w:t>
      </w:r>
      <w:r w:rsidRPr="00A45769">
        <w:t xml:space="preserve">, and </w:t>
      </w:r>
      <w:r>
        <w:t>must</w:t>
      </w:r>
      <w:r w:rsidRPr="00A45769">
        <w:t xml:space="preserve"> be appropriately sized for the application. Assembly hardware includes all nuts, bolts, washers, and latches.</w:t>
      </w:r>
    </w:p>
    <w:p w:rsidR="00CA125B" w:rsidRPr="00A45769" w:rsidRDefault="00CA125B" w:rsidP="00CA125B">
      <w:pPr>
        <w:pStyle w:val="ListParagraph"/>
        <w:numPr>
          <w:ilvl w:val="0"/>
          <w:numId w:val="7"/>
        </w:numPr>
      </w:pPr>
      <w:r w:rsidRPr="00A45769">
        <w:t>Cabinet Interior</w:t>
      </w:r>
    </w:p>
    <w:p w:rsidR="00CA125B" w:rsidRPr="00A45769" w:rsidRDefault="00CA125B" w:rsidP="00CA125B">
      <w:pPr>
        <w:pStyle w:val="ListParagraph"/>
        <w:numPr>
          <w:ilvl w:val="1"/>
          <w:numId w:val="7"/>
        </w:numPr>
      </w:pPr>
      <w:r w:rsidRPr="00A45769">
        <w:t>All components shall be placed to avoid drip points.</w:t>
      </w:r>
    </w:p>
    <w:p w:rsidR="00CA125B" w:rsidRPr="00A45769" w:rsidRDefault="00CA125B" w:rsidP="00CA125B">
      <w:pPr>
        <w:pStyle w:val="ListParagraph"/>
        <w:numPr>
          <w:ilvl w:val="1"/>
          <w:numId w:val="7"/>
        </w:numPr>
      </w:pPr>
      <w:r w:rsidRPr="00A45769">
        <w:t>All writing shall incorporate drip loops and strain relief</w:t>
      </w:r>
    </w:p>
    <w:p w:rsidR="00CA125B" w:rsidRPr="00A45769" w:rsidRDefault="00CA125B" w:rsidP="00CA125B">
      <w:pPr>
        <w:pStyle w:val="ListParagraph"/>
        <w:numPr>
          <w:ilvl w:val="0"/>
          <w:numId w:val="7"/>
        </w:numPr>
      </w:pPr>
      <w:r w:rsidRPr="00A45769">
        <w:t>Cabinet Finish</w:t>
      </w:r>
    </w:p>
    <w:p w:rsidR="00CA125B" w:rsidRPr="00A45769" w:rsidRDefault="00CA125B" w:rsidP="00CA125B">
      <w:pPr>
        <w:pStyle w:val="ListParagraph"/>
        <w:numPr>
          <w:ilvl w:val="1"/>
          <w:numId w:val="7"/>
        </w:numPr>
      </w:pPr>
      <w:r w:rsidRPr="00A45769">
        <w:t>The cabinet shall have a powder coated finish.</w:t>
      </w:r>
    </w:p>
    <w:p w:rsidR="00CA125B" w:rsidRPr="00A45769" w:rsidRDefault="00CA125B" w:rsidP="00CA125B">
      <w:pPr>
        <w:pStyle w:val="ListParagraph"/>
        <w:numPr>
          <w:ilvl w:val="1"/>
          <w:numId w:val="7"/>
        </w:numPr>
      </w:pPr>
      <w:r w:rsidRPr="00A45769">
        <w:t>The finish shall meet the following criteria:</w:t>
      </w:r>
    </w:p>
    <w:p w:rsidR="00CA125B" w:rsidRPr="00A45769" w:rsidRDefault="00CA125B" w:rsidP="00CA125B">
      <w:pPr>
        <w:pStyle w:val="ListParagraph"/>
        <w:numPr>
          <w:ilvl w:val="2"/>
          <w:numId w:val="7"/>
        </w:numPr>
      </w:pPr>
      <w:r w:rsidRPr="00A45769">
        <w:t>60</w:t>
      </w:r>
      <w:r w:rsidRPr="00A45769">
        <w:sym w:font="Symbol" w:char="F0B0"/>
      </w:r>
      <w:r w:rsidRPr="00A45769">
        <w:t xml:space="preserve"> Gloss 5% ±5% per ASTM D523</w:t>
      </w:r>
    </w:p>
    <w:p w:rsidR="00CA125B" w:rsidRPr="00A45769" w:rsidRDefault="00CA125B" w:rsidP="00CA125B">
      <w:pPr>
        <w:pStyle w:val="ListParagraph"/>
        <w:numPr>
          <w:ilvl w:val="2"/>
          <w:numId w:val="7"/>
        </w:numPr>
      </w:pPr>
      <w:r w:rsidRPr="00A45769">
        <w:t xml:space="preserve">Pencil Hardness 2Hper ASTM D523 </w:t>
      </w:r>
    </w:p>
    <w:p w:rsidR="00CA125B" w:rsidRPr="00A45769" w:rsidRDefault="00CA125B" w:rsidP="00CA125B">
      <w:pPr>
        <w:pStyle w:val="ListParagraph"/>
        <w:numPr>
          <w:ilvl w:val="2"/>
          <w:numId w:val="7"/>
        </w:numPr>
      </w:pPr>
      <w:r w:rsidRPr="00A45769">
        <w:t>Flexibility 100% D1737/D522</w:t>
      </w:r>
    </w:p>
    <w:p w:rsidR="00CA125B" w:rsidRPr="00A45769" w:rsidRDefault="00CA125B" w:rsidP="00CA125B">
      <w:pPr>
        <w:pStyle w:val="ListParagraph"/>
        <w:numPr>
          <w:ilvl w:val="2"/>
          <w:numId w:val="7"/>
        </w:numPr>
      </w:pPr>
      <w:r w:rsidRPr="00A45769">
        <w:t>Direct Impact 80min in lbs @2.5 mils per ASTM D2794</w:t>
      </w:r>
    </w:p>
    <w:p w:rsidR="00CA125B" w:rsidRPr="00A45769" w:rsidRDefault="00CA125B" w:rsidP="00CA125B">
      <w:pPr>
        <w:pStyle w:val="ListParagraph"/>
        <w:numPr>
          <w:ilvl w:val="2"/>
          <w:numId w:val="7"/>
        </w:numPr>
      </w:pPr>
      <w:r w:rsidRPr="00A45769">
        <w:t>Reverse Impact 80min in lbs @2.5 mils per ASTM D2794</w:t>
      </w:r>
    </w:p>
    <w:p w:rsidR="00CA125B" w:rsidRPr="00A45769" w:rsidRDefault="00CA125B" w:rsidP="00CA125B">
      <w:pPr>
        <w:pStyle w:val="ListParagraph"/>
        <w:numPr>
          <w:ilvl w:val="2"/>
          <w:numId w:val="7"/>
        </w:numPr>
      </w:pPr>
      <w:r w:rsidRPr="00A45769">
        <w:t>Salt Spray 1000 Hours Typical per ASTM D1654</w:t>
      </w:r>
    </w:p>
    <w:p w:rsidR="00CA125B" w:rsidRPr="00A45769" w:rsidRDefault="00CA125B" w:rsidP="00CA125B">
      <w:pPr>
        <w:pStyle w:val="ListParagraph"/>
        <w:numPr>
          <w:ilvl w:val="0"/>
          <w:numId w:val="7"/>
        </w:numPr>
      </w:pPr>
      <w:r w:rsidRPr="00A45769">
        <w:t>Lifting Hardware</w:t>
      </w:r>
    </w:p>
    <w:p w:rsidR="00CA125B" w:rsidRPr="00A45769" w:rsidRDefault="00CA125B" w:rsidP="00CA125B">
      <w:pPr>
        <w:pStyle w:val="ListParagraph"/>
        <w:numPr>
          <w:ilvl w:val="1"/>
          <w:numId w:val="7"/>
        </w:numPr>
      </w:pPr>
      <w:r w:rsidRPr="00A45769">
        <w:t xml:space="preserve">When needed, multiple galvanized steel lifting eyebolts shall be mounted to the top of the cabinet. Eyebolt hardware </w:t>
      </w:r>
      <w:r>
        <w:t>shall</w:t>
      </w:r>
      <w:r w:rsidRPr="00A45769">
        <w:t xml:space="preserve"> attach directly to the cabinet frame, and </w:t>
      </w:r>
      <w:r>
        <w:t>is</w:t>
      </w:r>
      <w:r w:rsidRPr="00A45769">
        <w:t xml:space="preserve"> installed at the factory.</w:t>
      </w:r>
    </w:p>
    <w:p w:rsidR="00CA125B" w:rsidRPr="00A45769" w:rsidRDefault="00CA125B" w:rsidP="00CA125B">
      <w:pPr>
        <w:pStyle w:val="ListParagraph"/>
        <w:numPr>
          <w:ilvl w:val="1"/>
          <w:numId w:val="7"/>
        </w:numPr>
      </w:pPr>
      <w:r w:rsidRPr="00A45769">
        <w:t xml:space="preserve">All mounting points of eyebolts shall be sealed to prevent water from entering the cabinet. Lifting hardware, as well as the cabinet frame, </w:t>
      </w:r>
      <w:r>
        <w:t>shall</w:t>
      </w:r>
      <w:r w:rsidRPr="00A45769">
        <w:t xml:space="preserve"> be designed </w:t>
      </w:r>
      <w:r>
        <w:t>such</w:t>
      </w:r>
      <w:r w:rsidRPr="00A45769">
        <w:t xml:space="preserve"> that the cabinet can be shipped and handled without damage or excessive stress </w:t>
      </w:r>
      <w:r>
        <w:t>before or during installation to</w:t>
      </w:r>
      <w:r w:rsidRPr="00A45769">
        <w:t xml:space="preserve"> its support structure.</w:t>
      </w:r>
    </w:p>
    <w:p w:rsidR="00CA125B" w:rsidRPr="00A45769" w:rsidRDefault="00CA125B" w:rsidP="00CA125B">
      <w:pPr>
        <w:pStyle w:val="ListParagraph"/>
        <w:numPr>
          <w:ilvl w:val="0"/>
          <w:numId w:val="7"/>
        </w:numPr>
      </w:pPr>
      <w:r w:rsidRPr="00A45769">
        <w:t>Welding</w:t>
      </w:r>
    </w:p>
    <w:p w:rsidR="00CA125B" w:rsidRPr="00A45769" w:rsidRDefault="00CA125B" w:rsidP="00CA125B">
      <w:pPr>
        <w:pStyle w:val="ListParagraph"/>
        <w:numPr>
          <w:ilvl w:val="1"/>
          <w:numId w:val="7"/>
        </w:numPr>
      </w:pPr>
      <w:r w:rsidRPr="00A45769">
        <w:t>All</w:t>
      </w:r>
      <w:r>
        <w:t xml:space="preserve"> exterior seams shall be continuous TIG welded </w:t>
      </w:r>
      <w:r w:rsidRPr="00A45769">
        <w:t>to form a single structure</w:t>
      </w:r>
      <w:r>
        <w:t>.</w:t>
      </w:r>
    </w:p>
    <w:p w:rsidR="00CA125B" w:rsidRPr="00A45769" w:rsidRDefault="00CA125B" w:rsidP="00CA125B">
      <w:pPr>
        <w:pStyle w:val="ListParagraph"/>
        <w:numPr>
          <w:ilvl w:val="1"/>
          <w:numId w:val="7"/>
        </w:numPr>
      </w:pPr>
      <w:r w:rsidRPr="00A45769">
        <w:lastRenderedPageBreak/>
        <w:t xml:space="preserve">All welds shall be performed to the documented in-house welding procedures </w:t>
      </w:r>
    </w:p>
    <w:p w:rsidR="00CA125B" w:rsidRPr="00A45769" w:rsidRDefault="00CA125B" w:rsidP="00CA125B">
      <w:pPr>
        <w:pStyle w:val="ListParagraph"/>
        <w:numPr>
          <w:ilvl w:val="1"/>
          <w:numId w:val="7"/>
        </w:numPr>
      </w:pPr>
      <w:r w:rsidRPr="00A45769">
        <w:t>The welds shall be performed by certified welders and inspected by a certified welder.</w:t>
      </w:r>
    </w:p>
    <w:p w:rsidR="00CA125B" w:rsidRPr="00A45769" w:rsidRDefault="00CA125B" w:rsidP="00CA125B">
      <w:pPr>
        <w:pStyle w:val="ListParagraph"/>
        <w:numPr>
          <w:ilvl w:val="0"/>
          <w:numId w:val="7"/>
        </w:numPr>
      </w:pPr>
      <w:r w:rsidRPr="00A45769">
        <w:t>Chemical Bonding</w:t>
      </w:r>
    </w:p>
    <w:p w:rsidR="00CA125B" w:rsidRPr="00A45769" w:rsidRDefault="00CA125B" w:rsidP="00CA125B">
      <w:pPr>
        <w:pStyle w:val="ListParagraph"/>
        <w:numPr>
          <w:ilvl w:val="1"/>
          <w:numId w:val="7"/>
        </w:numPr>
      </w:pPr>
      <w:r w:rsidRPr="00A45769">
        <w:t>In some instances, a chemical bonding agent is the preferred method of assembly. In these cases, a two-part adhesive will be permitted. All necessary testing shall be completed to the adhesive manufacture</w:t>
      </w:r>
      <w:r>
        <w:t>r</w:t>
      </w:r>
      <w:r w:rsidRPr="00A45769">
        <w:t>’s specifications.</w:t>
      </w:r>
    </w:p>
    <w:p w:rsidR="00CA125B" w:rsidRPr="00A45769" w:rsidRDefault="00CA125B" w:rsidP="00CA125B">
      <w:pPr>
        <w:pStyle w:val="ListParagraph"/>
        <w:numPr>
          <w:ilvl w:val="0"/>
          <w:numId w:val="7"/>
        </w:numPr>
      </w:pPr>
      <w:r>
        <w:t>Hinged Face</w:t>
      </w:r>
      <w:r w:rsidRPr="00A45769">
        <w:t xml:space="preserve"> Construction</w:t>
      </w:r>
    </w:p>
    <w:p w:rsidR="00CA125B" w:rsidRPr="00A45769" w:rsidRDefault="00CA125B" w:rsidP="00CA125B">
      <w:pPr>
        <w:pStyle w:val="ListParagraph"/>
        <w:numPr>
          <w:ilvl w:val="1"/>
          <w:numId w:val="7"/>
        </w:numPr>
      </w:pPr>
      <w:r>
        <w:t>Hinged Face</w:t>
      </w:r>
      <w:r w:rsidRPr="00A45769">
        <w:t xml:space="preserve"> shall be attached to cabinet using </w:t>
      </w:r>
      <w:r>
        <w:t xml:space="preserve">a </w:t>
      </w:r>
      <w:r w:rsidRPr="00A45769">
        <w:t>full</w:t>
      </w:r>
      <w:r>
        <w:t>-length</w:t>
      </w:r>
      <w:r w:rsidRPr="00A45769">
        <w:t xml:space="preserve"> extruded hinge.</w:t>
      </w:r>
    </w:p>
    <w:p w:rsidR="00CA125B" w:rsidRPr="00A45769" w:rsidRDefault="00CA125B" w:rsidP="00CA125B">
      <w:pPr>
        <w:pStyle w:val="ListParagraph"/>
        <w:numPr>
          <w:ilvl w:val="1"/>
          <w:numId w:val="7"/>
        </w:numPr>
      </w:pPr>
      <w:r w:rsidRPr="00A45769">
        <w:t xml:space="preserve">The cabinet face shall be flanged on all sides to shed water. The door shall close around its flanged frame and compress against a </w:t>
      </w:r>
      <w:r>
        <w:t xml:space="preserve">closed-cell </w:t>
      </w:r>
      <w:r w:rsidRPr="00A45769">
        <w:t xml:space="preserve">silicone gasket, which </w:t>
      </w:r>
      <w:r>
        <w:t>is adhered</w:t>
      </w:r>
      <w:r w:rsidRPr="00A45769">
        <w:t xml:space="preserve"> to the door. The door shall contain a positive stop that prevents the door from being opened beyond 90</w:t>
      </w:r>
      <w:r w:rsidRPr="00A45769">
        <w:sym w:font="Symbol" w:char="F0B0"/>
      </w:r>
      <w:r w:rsidRPr="00A45769">
        <w:t xml:space="preserve"> open position.</w:t>
      </w:r>
    </w:p>
    <w:p w:rsidR="00CA125B" w:rsidRPr="00A45769" w:rsidRDefault="00CA125B" w:rsidP="00CA125B">
      <w:pPr>
        <w:pStyle w:val="ListParagraph"/>
        <w:numPr>
          <w:ilvl w:val="1"/>
          <w:numId w:val="7"/>
        </w:numPr>
      </w:pPr>
      <w:r w:rsidRPr="00A45769">
        <w:t xml:space="preserve">Front frame shall consist of a </w:t>
      </w:r>
      <w:r>
        <w:t xml:space="preserve">replaceable </w:t>
      </w:r>
      <w:r w:rsidRPr="00A45769">
        <w:t xml:space="preserve">0.25” </w:t>
      </w:r>
      <w:r>
        <w:t xml:space="preserve">tinted </w:t>
      </w:r>
      <w:r w:rsidRPr="00A45769">
        <w:t>polyc</w:t>
      </w:r>
      <w:r>
        <w:t>arbonate protective face</w:t>
      </w:r>
      <w:r w:rsidRPr="00A45769">
        <w:t>.</w:t>
      </w:r>
    </w:p>
    <w:p w:rsidR="00CA125B" w:rsidRPr="00A45769" w:rsidRDefault="00CA125B" w:rsidP="00CA125B">
      <w:pPr>
        <w:pStyle w:val="ListParagraph"/>
        <w:numPr>
          <w:ilvl w:val="1"/>
          <w:numId w:val="7"/>
        </w:numPr>
      </w:pPr>
      <w:r w:rsidRPr="00A45769">
        <w:t xml:space="preserve">The polycarbonate shall cover the entire frame opening and will be sealed to prevent water and other elements from entering the cabinet by 2 </w:t>
      </w:r>
      <w:r>
        <w:t>rounds</w:t>
      </w:r>
      <w:r w:rsidRPr="00A45769">
        <w:t xml:space="preserve"> of ¼” </w:t>
      </w:r>
      <w:r>
        <w:t xml:space="preserve">closed-cell </w:t>
      </w:r>
      <w:r w:rsidRPr="00A45769">
        <w:t>silicone gasket.</w:t>
      </w:r>
    </w:p>
    <w:p w:rsidR="00CA125B" w:rsidRPr="00A45769" w:rsidRDefault="00CA125B" w:rsidP="00CA125B">
      <w:pPr>
        <w:pStyle w:val="ListParagraph"/>
        <w:numPr>
          <w:ilvl w:val="1"/>
          <w:numId w:val="7"/>
        </w:numPr>
      </w:pPr>
      <w:r w:rsidRPr="00A45769">
        <w:t>The polycarbonate shall contain UV inhibitors to protect the circuit board from the effects of ultraviolet light and prevent the premature aging of the polycarbonate face.</w:t>
      </w:r>
    </w:p>
    <w:p w:rsidR="00CA125B" w:rsidRPr="00A45769" w:rsidRDefault="00CA125B" w:rsidP="00CA125B">
      <w:pPr>
        <w:pStyle w:val="ListParagraph"/>
        <w:numPr>
          <w:ilvl w:val="1"/>
          <w:numId w:val="7"/>
        </w:numPr>
      </w:pPr>
      <w:r w:rsidRPr="00A45769">
        <w:t>The polycarbonate face shall have the following characteristics:</w:t>
      </w:r>
    </w:p>
    <w:p w:rsidR="00CA125B" w:rsidRPr="00A45769" w:rsidRDefault="00CA125B" w:rsidP="00CA125B">
      <w:pPr>
        <w:pStyle w:val="ListParagraph"/>
        <w:numPr>
          <w:ilvl w:val="2"/>
          <w:numId w:val="7"/>
        </w:numPr>
      </w:pPr>
      <w:r w:rsidRPr="00A45769">
        <w:t>Rockwell Hardness:</w:t>
      </w:r>
      <w:r w:rsidRPr="00A45769">
        <w:tab/>
      </w:r>
      <w:r w:rsidRPr="00A45769">
        <w:tab/>
      </w:r>
      <w:r>
        <w:tab/>
      </w:r>
      <w:r w:rsidRPr="00A45769">
        <w:t>M70, R118</w:t>
      </w:r>
      <w:r w:rsidRPr="00A45769">
        <w:tab/>
        <w:t>ASTM D785</w:t>
      </w:r>
    </w:p>
    <w:p w:rsidR="00CA125B" w:rsidRPr="00A45769" w:rsidRDefault="00CA125B" w:rsidP="00CA125B">
      <w:pPr>
        <w:pStyle w:val="ListParagraph"/>
        <w:numPr>
          <w:ilvl w:val="2"/>
          <w:numId w:val="7"/>
        </w:numPr>
      </w:pPr>
      <w:r w:rsidRPr="00A45769">
        <w:t>Light Transmission:</w:t>
      </w:r>
      <w:r w:rsidRPr="00A45769">
        <w:tab/>
      </w:r>
      <w:r w:rsidRPr="00A45769">
        <w:tab/>
      </w:r>
      <w:r>
        <w:tab/>
      </w:r>
      <w:r w:rsidRPr="00A45769">
        <w:t>86% @ 0.125”</w:t>
      </w:r>
      <w:r w:rsidRPr="00A45769">
        <w:tab/>
        <w:t>ASTM D1003</w:t>
      </w:r>
    </w:p>
    <w:p w:rsidR="00CA125B" w:rsidRPr="00A45769" w:rsidRDefault="00CA125B" w:rsidP="00CA125B">
      <w:pPr>
        <w:pStyle w:val="ListParagraph"/>
        <w:numPr>
          <w:ilvl w:val="2"/>
          <w:numId w:val="7"/>
        </w:numPr>
      </w:pPr>
      <w:r w:rsidRPr="00A45769">
        <w:t xml:space="preserve">Refractive </w:t>
      </w:r>
      <w:r>
        <w:t>Index:</w:t>
      </w:r>
      <w:r>
        <w:tab/>
      </w:r>
      <w:r>
        <w:tab/>
      </w:r>
      <w:r>
        <w:tab/>
      </w:r>
      <w:r>
        <w:tab/>
      </w:r>
      <w:r w:rsidRPr="00A45769">
        <w:t>1.586 @ 77</w:t>
      </w:r>
      <w:r w:rsidRPr="00A45769">
        <w:sym w:font="Symbol" w:char="F0B0"/>
      </w:r>
      <w:r w:rsidRPr="00A45769">
        <w:t>F</w:t>
      </w:r>
      <w:r w:rsidRPr="00A45769">
        <w:tab/>
        <w:t>ASTM D542A</w:t>
      </w:r>
    </w:p>
    <w:p w:rsidR="00CA125B" w:rsidRPr="00A45769" w:rsidRDefault="00CA125B" w:rsidP="00CA125B">
      <w:pPr>
        <w:pStyle w:val="ListParagraph"/>
        <w:numPr>
          <w:ilvl w:val="2"/>
          <w:numId w:val="7"/>
        </w:numPr>
      </w:pPr>
      <w:r w:rsidRPr="00A45769">
        <w:t>Tensile Strength, Ultimate</w:t>
      </w:r>
      <w:r w:rsidRPr="00A45769">
        <w:tab/>
      </w:r>
      <w:r>
        <w:tab/>
      </w:r>
      <w:r>
        <w:tab/>
      </w:r>
      <w:r w:rsidRPr="00A45769">
        <w:t>9,500 psi</w:t>
      </w:r>
      <w:r w:rsidRPr="00A45769">
        <w:tab/>
        <w:t>ASTM D638</w:t>
      </w:r>
    </w:p>
    <w:p w:rsidR="00CA125B" w:rsidRPr="00A45769" w:rsidRDefault="00CA125B" w:rsidP="00CA125B">
      <w:pPr>
        <w:pStyle w:val="ListParagraph"/>
        <w:numPr>
          <w:ilvl w:val="2"/>
          <w:numId w:val="7"/>
        </w:numPr>
      </w:pPr>
      <w:r w:rsidRPr="00A45769">
        <w:t>Tensile Strength, Yield:</w:t>
      </w:r>
      <w:r w:rsidRPr="00A45769">
        <w:tab/>
      </w:r>
      <w:r w:rsidRPr="00A45769">
        <w:tab/>
      </w:r>
      <w:r>
        <w:tab/>
      </w:r>
      <w:r w:rsidRPr="00A45769">
        <w:t>9,000 psi</w:t>
      </w:r>
      <w:r w:rsidRPr="00A45769">
        <w:tab/>
        <w:t>ASTM D638</w:t>
      </w:r>
    </w:p>
    <w:p w:rsidR="00CA125B" w:rsidRPr="00A45769" w:rsidRDefault="00CA125B" w:rsidP="00CA125B">
      <w:pPr>
        <w:pStyle w:val="ListParagraph"/>
        <w:numPr>
          <w:ilvl w:val="2"/>
          <w:numId w:val="7"/>
        </w:numPr>
      </w:pPr>
      <w:r w:rsidRPr="00A45769">
        <w:t>Tensile Modulus:</w:t>
      </w:r>
      <w:r w:rsidRPr="00A45769">
        <w:tab/>
      </w:r>
      <w:r w:rsidRPr="00A45769">
        <w:tab/>
      </w:r>
      <w:r w:rsidRPr="00A45769">
        <w:tab/>
      </w:r>
      <w:r>
        <w:tab/>
      </w:r>
      <w:r w:rsidRPr="00A45769">
        <w:t>340,000 psi</w:t>
      </w:r>
      <w:r w:rsidRPr="00A45769">
        <w:tab/>
        <w:t>ASTM D638</w:t>
      </w:r>
    </w:p>
    <w:p w:rsidR="00CA125B" w:rsidRPr="00A45769" w:rsidRDefault="00CA125B" w:rsidP="00CA125B">
      <w:pPr>
        <w:pStyle w:val="ListParagraph"/>
        <w:numPr>
          <w:ilvl w:val="2"/>
          <w:numId w:val="7"/>
        </w:numPr>
      </w:pPr>
      <w:r w:rsidRPr="00A45769">
        <w:t>Flexural Strength, Yield:</w:t>
      </w:r>
      <w:r w:rsidRPr="00A45769">
        <w:tab/>
      </w:r>
      <w:r w:rsidRPr="00A45769">
        <w:tab/>
      </w:r>
      <w:r>
        <w:tab/>
      </w:r>
      <w:r w:rsidRPr="00A45769">
        <w:t>13,500 psi</w:t>
      </w:r>
      <w:r w:rsidRPr="00A45769">
        <w:tab/>
        <w:t>ASTM D790</w:t>
      </w:r>
    </w:p>
    <w:p w:rsidR="00CA125B" w:rsidRPr="00A45769" w:rsidRDefault="00CA125B" w:rsidP="00CA125B">
      <w:pPr>
        <w:pStyle w:val="ListParagraph"/>
        <w:numPr>
          <w:ilvl w:val="2"/>
          <w:numId w:val="7"/>
        </w:numPr>
      </w:pPr>
      <w:r w:rsidRPr="00A45769">
        <w:t>Flexural Modulus:</w:t>
      </w:r>
      <w:r w:rsidRPr="00A45769">
        <w:tab/>
      </w:r>
      <w:r w:rsidRPr="00A45769">
        <w:tab/>
      </w:r>
      <w:r w:rsidRPr="00A45769">
        <w:tab/>
      </w:r>
      <w:r>
        <w:tab/>
      </w:r>
      <w:r w:rsidRPr="00A45769">
        <w:t>345,000 psi</w:t>
      </w:r>
      <w:r w:rsidRPr="00A45769">
        <w:tab/>
        <w:t>ASTM D790</w:t>
      </w:r>
    </w:p>
    <w:p w:rsidR="00CA125B" w:rsidRPr="00A45769" w:rsidRDefault="00CA125B" w:rsidP="00CA125B">
      <w:pPr>
        <w:pStyle w:val="ListParagraph"/>
        <w:numPr>
          <w:ilvl w:val="2"/>
          <w:numId w:val="7"/>
        </w:numPr>
      </w:pPr>
      <w:r w:rsidRPr="00A45769">
        <w:t xml:space="preserve">Impact Strength, </w:t>
      </w:r>
      <w:proofErr w:type="spellStart"/>
      <w:r w:rsidRPr="00A45769">
        <w:t>Izod</w:t>
      </w:r>
      <w:proofErr w:type="spellEnd"/>
      <w:r w:rsidRPr="00A45769">
        <w:t>:</w:t>
      </w:r>
      <w:r w:rsidRPr="00A45769">
        <w:tab/>
      </w:r>
      <w:r w:rsidRPr="00A45769">
        <w:tab/>
      </w:r>
      <w:r>
        <w:tab/>
      </w:r>
      <w:r w:rsidRPr="00A45769">
        <w:t>18 ft-lbs/inch</w:t>
      </w:r>
      <w:r w:rsidRPr="00A45769">
        <w:tab/>
        <w:t>ASTM D256A</w:t>
      </w:r>
    </w:p>
    <w:p w:rsidR="00CA125B" w:rsidRPr="00A45769" w:rsidRDefault="00CA125B" w:rsidP="00CA125B">
      <w:pPr>
        <w:pStyle w:val="ListParagraph"/>
        <w:numPr>
          <w:ilvl w:val="2"/>
          <w:numId w:val="7"/>
        </w:numPr>
      </w:pPr>
      <w:r w:rsidRPr="00A45769">
        <w:t>Heat Deflection Temperature:</w:t>
      </w:r>
      <w:r w:rsidRPr="00A45769">
        <w:tab/>
      </w:r>
      <w:r>
        <w:tab/>
      </w:r>
      <w:r w:rsidRPr="00A45769">
        <w:t>270</w:t>
      </w:r>
      <w:r w:rsidRPr="00A45769">
        <w:sym w:font="Symbol" w:char="F0B0"/>
      </w:r>
      <w:r w:rsidRPr="00A45769">
        <w:t>F@264psi ASTM D648</w:t>
      </w:r>
    </w:p>
    <w:p w:rsidR="00CA125B" w:rsidRDefault="00CA125B" w:rsidP="00CA125B">
      <w:pPr>
        <w:pStyle w:val="ListParagraph"/>
        <w:numPr>
          <w:ilvl w:val="2"/>
          <w:numId w:val="7"/>
        </w:numPr>
      </w:pPr>
      <w:r w:rsidRPr="00A45769">
        <w:t>Coefficient of Thermal Expansion:</w:t>
      </w:r>
      <w:r>
        <w:tab/>
        <w:t>2.75 x 10</w:t>
      </w:r>
      <w:r>
        <w:rPr>
          <w:vertAlign w:val="superscript"/>
        </w:rPr>
        <w:t>-5</w:t>
      </w:r>
      <w:r>
        <w:tab/>
        <w:t>ASTM D696</w:t>
      </w:r>
    </w:p>
    <w:p w:rsidR="00CA125B" w:rsidRDefault="00CA125B" w:rsidP="00CA125B">
      <w:pPr>
        <w:pStyle w:val="ListParagraph"/>
        <w:numPr>
          <w:ilvl w:val="0"/>
          <w:numId w:val="7"/>
        </w:numPr>
      </w:pPr>
      <w:r>
        <w:t>LED Circuit Boards</w:t>
      </w:r>
    </w:p>
    <w:p w:rsidR="00CA125B" w:rsidRDefault="00CA125B" w:rsidP="00CA125B">
      <w:pPr>
        <w:pStyle w:val="ListParagraph"/>
        <w:numPr>
          <w:ilvl w:val="1"/>
          <w:numId w:val="7"/>
        </w:numPr>
      </w:pPr>
      <w:r>
        <w:t>General</w:t>
      </w:r>
    </w:p>
    <w:p w:rsidR="00CA125B" w:rsidRDefault="00CA125B" w:rsidP="00CA125B">
      <w:pPr>
        <w:pStyle w:val="ListParagraph"/>
        <w:numPr>
          <w:ilvl w:val="2"/>
          <w:numId w:val="7"/>
        </w:numPr>
      </w:pPr>
      <w:r>
        <w:t xml:space="preserve">LED circuit boards shall be </w:t>
      </w:r>
      <w:r w:rsidRPr="00657083">
        <w:t>manufactured using a</w:t>
      </w:r>
      <w:r>
        <w:t>n</w:t>
      </w:r>
      <w:r w:rsidRPr="00657083">
        <w:t xml:space="preserve"> FR-4 laminated</w:t>
      </w:r>
      <w:r>
        <w:t xml:space="preserve"> fiberglass/epoxy printed circuit board with the front face printed with black UV cure ink or black paint.</w:t>
      </w:r>
    </w:p>
    <w:p w:rsidR="00CA125B" w:rsidRDefault="00CA125B" w:rsidP="00CA125B">
      <w:pPr>
        <w:pStyle w:val="ListParagraph"/>
        <w:numPr>
          <w:ilvl w:val="2"/>
          <w:numId w:val="7"/>
        </w:numPr>
      </w:pPr>
      <w:r>
        <w:t>The failure of an LED string shall not cause the failure of any other LED string.</w:t>
      </w:r>
    </w:p>
    <w:p w:rsidR="00CA125B" w:rsidRDefault="00CA125B" w:rsidP="00CA125B">
      <w:pPr>
        <w:pStyle w:val="ListParagraph"/>
        <w:numPr>
          <w:ilvl w:val="2"/>
          <w:numId w:val="7"/>
        </w:numPr>
      </w:pPr>
      <w:r w:rsidRPr="00BE4FD2">
        <w:t>The circular base of the discrete LEDs shall be soldered such that they are flush</w:t>
      </w:r>
      <w:r>
        <w:t>.</w:t>
      </w:r>
    </w:p>
    <w:p w:rsidR="00CA125B" w:rsidRPr="00BE4FD2" w:rsidRDefault="00CA125B" w:rsidP="00CA125B">
      <w:pPr>
        <w:pStyle w:val="ListParagraph"/>
        <w:numPr>
          <w:ilvl w:val="2"/>
          <w:numId w:val="7"/>
        </w:numPr>
      </w:pPr>
      <w:r>
        <w:t xml:space="preserve">Exposed traces, </w:t>
      </w:r>
      <w:proofErr w:type="spellStart"/>
      <w:r>
        <w:t>vias</w:t>
      </w:r>
      <w:proofErr w:type="spellEnd"/>
      <w:r>
        <w:t xml:space="preserve">, and solder joints on the LED circuit board, with the exception of connector contacts and terminals, </w:t>
      </w:r>
      <w:r w:rsidRPr="00BE4FD2">
        <w:t>shall be protec</w:t>
      </w:r>
      <w:r>
        <w:t>ted from water and humidity by</w:t>
      </w:r>
      <w:r w:rsidRPr="00BE4FD2">
        <w:t xml:space="preserve"> application of conformal coating.</w:t>
      </w:r>
    </w:p>
    <w:p w:rsidR="00CA125B" w:rsidRDefault="00CA125B" w:rsidP="00CA125B">
      <w:pPr>
        <w:pStyle w:val="ListParagraph"/>
        <w:numPr>
          <w:ilvl w:val="2"/>
          <w:numId w:val="7"/>
        </w:numPr>
      </w:pPr>
      <w:r>
        <w:t>The conformal coating shall contain a UV brightener to aid in visual inspection.</w:t>
      </w:r>
    </w:p>
    <w:p w:rsidR="00CA125B" w:rsidRDefault="00CA125B" w:rsidP="00CA125B">
      <w:pPr>
        <w:pStyle w:val="ListParagraph"/>
        <w:numPr>
          <w:ilvl w:val="2"/>
          <w:numId w:val="7"/>
        </w:numPr>
      </w:pPr>
      <w:r>
        <w:t xml:space="preserve">The presence of ambient radio signals, magnetic interference, and electromagnetic interference shall not impair the performance of the sign system. Interference includes power lines, transformers, and motors. The sign will not radiate electromagnetic signals </w:t>
      </w:r>
      <w:r>
        <w:lastRenderedPageBreak/>
        <w:t>that adversely affect any other electronic devices, including those located in vehicles passing underneath or near the sign and its’ controller.</w:t>
      </w:r>
    </w:p>
    <w:p w:rsidR="00CA125B" w:rsidRDefault="00CA125B" w:rsidP="00CA125B">
      <w:pPr>
        <w:pStyle w:val="ListParagraph"/>
        <w:numPr>
          <w:ilvl w:val="2"/>
          <w:numId w:val="7"/>
        </w:numPr>
      </w:pPr>
      <w:r>
        <w:t>The Cabinet and sign components shall operate in the following temperature and humidity conditions:</w:t>
      </w:r>
    </w:p>
    <w:p w:rsidR="00CA125B" w:rsidRDefault="00CA125B" w:rsidP="00CA125B">
      <w:pPr>
        <w:pStyle w:val="ListParagraph"/>
        <w:numPr>
          <w:ilvl w:val="3"/>
          <w:numId w:val="7"/>
        </w:numPr>
      </w:pPr>
      <w:r>
        <w:t>Operational &amp; storage temperature range: -40</w:t>
      </w:r>
      <w:r>
        <w:sym w:font="Symbol" w:char="F0B0"/>
      </w:r>
      <w:r>
        <w:t>F to +165</w:t>
      </w:r>
      <w:r>
        <w:sym w:font="Symbol" w:char="F0B0"/>
      </w:r>
      <w:r>
        <w:t>F</w:t>
      </w:r>
    </w:p>
    <w:p w:rsidR="00CA125B" w:rsidRPr="00BC0BCA" w:rsidRDefault="00CA125B" w:rsidP="00CA125B">
      <w:pPr>
        <w:pStyle w:val="ListParagraph"/>
        <w:numPr>
          <w:ilvl w:val="3"/>
          <w:numId w:val="7"/>
        </w:numPr>
      </w:pPr>
      <w:r w:rsidRPr="00BC0BCA">
        <w:t>Humidity range: 0% to 99% (non-condensing)</w:t>
      </w:r>
    </w:p>
    <w:p w:rsidR="00CA125B" w:rsidRDefault="00CA125B" w:rsidP="00CA125B">
      <w:pPr>
        <w:pStyle w:val="ListParagraph"/>
        <w:numPr>
          <w:ilvl w:val="1"/>
          <w:numId w:val="7"/>
        </w:numPr>
      </w:pPr>
      <w:r>
        <w:t>Discrete LEDs</w:t>
      </w:r>
    </w:p>
    <w:p w:rsidR="00CA125B" w:rsidRPr="00A12875" w:rsidRDefault="00CA125B" w:rsidP="00CA125B">
      <w:pPr>
        <w:pStyle w:val="ListParagraph"/>
        <w:numPr>
          <w:ilvl w:val="2"/>
          <w:numId w:val="7"/>
        </w:numPr>
      </w:pPr>
      <w:r w:rsidRPr="00A12875">
        <w:t>All LEDs shall have a nominal viewing cone of 30</w:t>
      </w:r>
      <w:r w:rsidRPr="00A12875">
        <w:sym w:font="Symbol" w:char="F0B0"/>
      </w:r>
      <w:r w:rsidRPr="00A12875">
        <w:t xml:space="preserve"> with a half-power angle of 15</w:t>
      </w:r>
      <w:r w:rsidRPr="00A12875">
        <w:sym w:font="Symbol" w:char="F0B0"/>
      </w:r>
      <w:r w:rsidRPr="00A12875">
        <w:t xml:space="preserve"> measured from the longitudinal axis of the LED. Viewing cone tolerances shall be as specified in the LED manufacture’s product specifications and shall not exceed ± 3 degrees.</w:t>
      </w:r>
    </w:p>
    <w:p w:rsidR="00CA125B" w:rsidRDefault="00CA125B" w:rsidP="00CA125B">
      <w:pPr>
        <w:pStyle w:val="ListParagraph"/>
        <w:numPr>
          <w:ilvl w:val="2"/>
          <w:numId w:val="7"/>
        </w:numPr>
      </w:pPr>
      <w:r w:rsidRPr="0038510A">
        <w:t>The discrete LEDs</w:t>
      </w:r>
      <w:r>
        <w:t xml:space="preserve"> shall be driven at a current level that is in accordance with their operating environment. Signs will use voltage pulse width modulation (PWM) to achieve the proper LED intensity level for ambient light conditions. The drive pulse shall be modulated at a frequency high enough to provide flicker-free operation.</w:t>
      </w:r>
    </w:p>
    <w:p w:rsidR="00CA125B" w:rsidRDefault="00CA125B" w:rsidP="00CA125B">
      <w:pPr>
        <w:pStyle w:val="ListParagraph"/>
        <w:numPr>
          <w:ilvl w:val="2"/>
          <w:numId w:val="7"/>
        </w:numPr>
      </w:pPr>
      <w:r>
        <w:t>The LED drive circuit board shall contain a microcontroller regulation circuit that controls the PWM duty cycle.</w:t>
      </w:r>
    </w:p>
    <w:p w:rsidR="00CA125B" w:rsidRPr="00A24C20" w:rsidRDefault="00CA125B" w:rsidP="00CA125B">
      <w:pPr>
        <w:pStyle w:val="ListParagraph"/>
        <w:numPr>
          <w:ilvl w:val="1"/>
          <w:numId w:val="7"/>
        </w:numPr>
      </w:pPr>
      <w:r>
        <w:t xml:space="preserve">LED Specifications </w:t>
      </w:r>
      <w:r>
        <w:rPr>
          <w:b/>
          <w:color w:val="FF0000"/>
        </w:rPr>
        <w:t xml:space="preserve"> </w:t>
      </w:r>
    </w:p>
    <w:tbl>
      <w:tblPr>
        <w:tblStyle w:val="MediumGrid1-Accent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04"/>
        <w:gridCol w:w="2192"/>
        <w:gridCol w:w="2243"/>
        <w:gridCol w:w="2217"/>
      </w:tblGrid>
      <w:tr w:rsidR="00CA125B" w:rsidRPr="00A24C20" w:rsidTr="00944A4F">
        <w:trPr>
          <w:cnfStyle w:val="100000000000"/>
        </w:trPr>
        <w:tc>
          <w:tcPr>
            <w:cnfStyle w:val="001000000000"/>
            <w:tcW w:w="2204" w:type="dxa"/>
          </w:tcPr>
          <w:p w:rsidR="00CA125B" w:rsidRPr="00A24C20" w:rsidRDefault="00CA125B" w:rsidP="00944A4F">
            <w:pPr>
              <w:rPr>
                <w:sz w:val="20"/>
              </w:rPr>
            </w:pPr>
            <w:r w:rsidRPr="00A24C20">
              <w:rPr>
                <w:sz w:val="20"/>
              </w:rPr>
              <w:t>LED Type</w:t>
            </w:r>
          </w:p>
        </w:tc>
        <w:tc>
          <w:tcPr>
            <w:tcW w:w="2192" w:type="dxa"/>
          </w:tcPr>
          <w:p w:rsidR="00CA125B" w:rsidRPr="00A24C20" w:rsidRDefault="00CA125B" w:rsidP="00944A4F">
            <w:pPr>
              <w:cnfStyle w:val="100000000000"/>
              <w:rPr>
                <w:sz w:val="20"/>
              </w:rPr>
            </w:pPr>
            <w:r w:rsidRPr="00A24C20">
              <w:rPr>
                <w:sz w:val="20"/>
              </w:rPr>
              <w:t>Color (nm)</w:t>
            </w:r>
          </w:p>
        </w:tc>
        <w:tc>
          <w:tcPr>
            <w:tcW w:w="2243" w:type="dxa"/>
          </w:tcPr>
          <w:p w:rsidR="00CA125B" w:rsidRPr="00A24C20" w:rsidRDefault="00CA125B" w:rsidP="00944A4F">
            <w:pPr>
              <w:cnfStyle w:val="100000000000"/>
              <w:rPr>
                <w:sz w:val="20"/>
              </w:rPr>
            </w:pPr>
            <w:r w:rsidRPr="00A24C20">
              <w:rPr>
                <w:sz w:val="20"/>
              </w:rPr>
              <w:t>Min Brightness (</w:t>
            </w:r>
            <w:proofErr w:type="spellStart"/>
            <w:r w:rsidRPr="00A24C20">
              <w:rPr>
                <w:sz w:val="20"/>
              </w:rPr>
              <w:t>mcd</w:t>
            </w:r>
            <w:proofErr w:type="spellEnd"/>
            <w:r w:rsidRPr="00A24C20">
              <w:rPr>
                <w:sz w:val="20"/>
              </w:rPr>
              <w:t>)</w:t>
            </w:r>
          </w:p>
        </w:tc>
        <w:tc>
          <w:tcPr>
            <w:tcW w:w="2217" w:type="dxa"/>
          </w:tcPr>
          <w:p w:rsidR="00CA125B" w:rsidRPr="00A24C20" w:rsidRDefault="00CA125B" w:rsidP="00944A4F">
            <w:pPr>
              <w:cnfStyle w:val="100000000000"/>
              <w:rPr>
                <w:sz w:val="20"/>
              </w:rPr>
            </w:pPr>
            <w:r w:rsidRPr="00A24C20">
              <w:rPr>
                <w:sz w:val="20"/>
              </w:rPr>
              <w:t>Viewing Angle</w:t>
            </w:r>
          </w:p>
        </w:tc>
      </w:tr>
      <w:tr w:rsidR="00CA125B" w:rsidRPr="00A24C20" w:rsidTr="00944A4F">
        <w:trPr>
          <w:cnfStyle w:val="000000100000"/>
        </w:trPr>
        <w:tc>
          <w:tcPr>
            <w:cnfStyle w:val="001000000000"/>
            <w:tcW w:w="2204" w:type="dxa"/>
          </w:tcPr>
          <w:p w:rsidR="00CA125B" w:rsidRPr="00A24C20" w:rsidRDefault="00CA125B" w:rsidP="00944A4F">
            <w:pPr>
              <w:rPr>
                <w:b w:val="0"/>
                <w:sz w:val="20"/>
              </w:rPr>
            </w:pPr>
            <w:r w:rsidRPr="00A24C20">
              <w:rPr>
                <w:b w:val="0"/>
                <w:sz w:val="20"/>
              </w:rPr>
              <w:t>Red</w:t>
            </w:r>
          </w:p>
        </w:tc>
        <w:tc>
          <w:tcPr>
            <w:tcW w:w="2192" w:type="dxa"/>
          </w:tcPr>
          <w:p w:rsidR="00CA125B" w:rsidRPr="00A24C20" w:rsidRDefault="00CA125B" w:rsidP="00944A4F">
            <w:pPr>
              <w:cnfStyle w:val="000000100000"/>
              <w:rPr>
                <w:sz w:val="20"/>
              </w:rPr>
            </w:pPr>
            <w:r>
              <w:rPr>
                <w:sz w:val="20"/>
              </w:rPr>
              <w:t>625</w:t>
            </w:r>
          </w:p>
        </w:tc>
        <w:tc>
          <w:tcPr>
            <w:tcW w:w="2243" w:type="dxa"/>
          </w:tcPr>
          <w:p w:rsidR="00CA125B" w:rsidRPr="00A24C20" w:rsidRDefault="00CA125B" w:rsidP="00944A4F">
            <w:pPr>
              <w:cnfStyle w:val="000000100000"/>
              <w:rPr>
                <w:sz w:val="20"/>
              </w:rPr>
            </w:pPr>
            <w:r>
              <w:rPr>
                <w:sz w:val="20"/>
              </w:rPr>
              <w:t>3,000</w:t>
            </w:r>
          </w:p>
        </w:tc>
        <w:tc>
          <w:tcPr>
            <w:tcW w:w="2217" w:type="dxa"/>
          </w:tcPr>
          <w:p w:rsidR="00CA125B" w:rsidRPr="00A24C20" w:rsidRDefault="00CA125B" w:rsidP="00944A4F">
            <w:pPr>
              <w:cnfStyle w:val="000000100000"/>
              <w:rPr>
                <w:sz w:val="20"/>
              </w:rPr>
            </w:pPr>
            <w:r>
              <w:rPr>
                <w:sz w:val="20"/>
              </w:rPr>
              <w:t>120</w:t>
            </w:r>
            <w:r>
              <w:rPr>
                <w:sz w:val="20"/>
              </w:rPr>
              <w:sym w:font="Symbol" w:char="F0B0"/>
            </w:r>
          </w:p>
        </w:tc>
      </w:tr>
      <w:tr w:rsidR="00CA125B" w:rsidRPr="00A24C20" w:rsidTr="00944A4F">
        <w:tc>
          <w:tcPr>
            <w:cnfStyle w:val="001000000000"/>
            <w:tcW w:w="2204" w:type="dxa"/>
          </w:tcPr>
          <w:p w:rsidR="00CA125B" w:rsidRPr="00A24C20" w:rsidRDefault="00CA125B" w:rsidP="00944A4F">
            <w:pPr>
              <w:rPr>
                <w:b w:val="0"/>
                <w:sz w:val="20"/>
              </w:rPr>
            </w:pPr>
            <w:r w:rsidRPr="00A24C20">
              <w:rPr>
                <w:b w:val="0"/>
                <w:sz w:val="20"/>
              </w:rPr>
              <w:t>Red</w:t>
            </w:r>
          </w:p>
        </w:tc>
        <w:tc>
          <w:tcPr>
            <w:tcW w:w="2192" w:type="dxa"/>
          </w:tcPr>
          <w:p w:rsidR="00CA125B" w:rsidRPr="00A24C20" w:rsidRDefault="00CA125B" w:rsidP="00944A4F">
            <w:pPr>
              <w:cnfStyle w:val="000000000000"/>
              <w:rPr>
                <w:sz w:val="20"/>
              </w:rPr>
            </w:pPr>
            <w:r>
              <w:rPr>
                <w:sz w:val="20"/>
              </w:rPr>
              <w:t>625</w:t>
            </w:r>
          </w:p>
        </w:tc>
        <w:tc>
          <w:tcPr>
            <w:tcW w:w="2243" w:type="dxa"/>
          </w:tcPr>
          <w:p w:rsidR="00CA125B" w:rsidRPr="00A24C20" w:rsidRDefault="00CA125B" w:rsidP="00944A4F">
            <w:pPr>
              <w:cnfStyle w:val="000000000000"/>
              <w:rPr>
                <w:sz w:val="20"/>
              </w:rPr>
            </w:pPr>
            <w:r>
              <w:rPr>
                <w:sz w:val="20"/>
              </w:rPr>
              <w:t>2,200</w:t>
            </w:r>
          </w:p>
        </w:tc>
        <w:tc>
          <w:tcPr>
            <w:tcW w:w="2217" w:type="dxa"/>
          </w:tcPr>
          <w:p w:rsidR="00CA125B" w:rsidRPr="00A24C20" w:rsidRDefault="00CA125B" w:rsidP="00944A4F">
            <w:pPr>
              <w:cnfStyle w:val="000000000000"/>
              <w:rPr>
                <w:sz w:val="20"/>
              </w:rPr>
            </w:pPr>
            <w:r>
              <w:rPr>
                <w:sz w:val="20"/>
              </w:rPr>
              <w:t>30</w:t>
            </w:r>
            <w:r>
              <w:rPr>
                <w:sz w:val="20"/>
              </w:rPr>
              <w:sym w:font="Symbol" w:char="F0B0"/>
            </w:r>
          </w:p>
        </w:tc>
      </w:tr>
      <w:tr w:rsidR="00CA125B" w:rsidRPr="00A24C20" w:rsidTr="00944A4F">
        <w:trPr>
          <w:cnfStyle w:val="000000100000"/>
        </w:trPr>
        <w:tc>
          <w:tcPr>
            <w:cnfStyle w:val="001000000000"/>
            <w:tcW w:w="2204" w:type="dxa"/>
          </w:tcPr>
          <w:p w:rsidR="00CA125B" w:rsidRPr="00A24C20" w:rsidRDefault="00CA125B" w:rsidP="00944A4F">
            <w:pPr>
              <w:rPr>
                <w:b w:val="0"/>
                <w:sz w:val="20"/>
              </w:rPr>
            </w:pPr>
            <w:r w:rsidRPr="00A24C20">
              <w:rPr>
                <w:b w:val="0"/>
                <w:sz w:val="20"/>
              </w:rPr>
              <w:t>Orange</w:t>
            </w:r>
          </w:p>
        </w:tc>
        <w:tc>
          <w:tcPr>
            <w:tcW w:w="2192" w:type="dxa"/>
          </w:tcPr>
          <w:p w:rsidR="00CA125B" w:rsidRDefault="00CA125B" w:rsidP="00944A4F">
            <w:pPr>
              <w:cnfStyle w:val="000000100000"/>
              <w:rPr>
                <w:sz w:val="20"/>
              </w:rPr>
            </w:pPr>
            <w:r>
              <w:rPr>
                <w:sz w:val="20"/>
              </w:rPr>
              <w:t>605</w:t>
            </w:r>
          </w:p>
        </w:tc>
        <w:tc>
          <w:tcPr>
            <w:tcW w:w="2243" w:type="dxa"/>
          </w:tcPr>
          <w:p w:rsidR="00CA125B" w:rsidRDefault="00CA125B" w:rsidP="00944A4F">
            <w:pPr>
              <w:cnfStyle w:val="000000100000"/>
              <w:rPr>
                <w:sz w:val="20"/>
              </w:rPr>
            </w:pPr>
            <w:r>
              <w:rPr>
                <w:sz w:val="20"/>
              </w:rPr>
              <w:t>6,000</w:t>
            </w:r>
          </w:p>
        </w:tc>
        <w:tc>
          <w:tcPr>
            <w:tcW w:w="2217" w:type="dxa"/>
          </w:tcPr>
          <w:p w:rsidR="00CA125B" w:rsidRDefault="00CA125B" w:rsidP="00944A4F">
            <w:pPr>
              <w:cnfStyle w:val="000000100000"/>
              <w:rPr>
                <w:sz w:val="20"/>
              </w:rPr>
            </w:pPr>
            <w:r>
              <w:rPr>
                <w:sz w:val="20"/>
              </w:rPr>
              <w:t>30</w:t>
            </w:r>
            <w:r>
              <w:rPr>
                <w:sz w:val="20"/>
              </w:rPr>
              <w:sym w:font="Symbol" w:char="F0B0"/>
            </w:r>
          </w:p>
        </w:tc>
      </w:tr>
      <w:tr w:rsidR="00CA125B" w:rsidRPr="00A24C20" w:rsidTr="00944A4F">
        <w:tc>
          <w:tcPr>
            <w:cnfStyle w:val="001000000000"/>
            <w:tcW w:w="2204" w:type="dxa"/>
          </w:tcPr>
          <w:p w:rsidR="00CA125B" w:rsidRPr="00A24C20" w:rsidRDefault="00CA125B" w:rsidP="00944A4F">
            <w:pPr>
              <w:rPr>
                <w:b w:val="0"/>
                <w:sz w:val="20"/>
              </w:rPr>
            </w:pPr>
            <w:r w:rsidRPr="00A24C20">
              <w:rPr>
                <w:b w:val="0"/>
                <w:sz w:val="20"/>
              </w:rPr>
              <w:t>Amber</w:t>
            </w:r>
          </w:p>
        </w:tc>
        <w:tc>
          <w:tcPr>
            <w:tcW w:w="2192" w:type="dxa"/>
          </w:tcPr>
          <w:p w:rsidR="00CA125B" w:rsidRPr="00A24C20" w:rsidRDefault="00CA125B" w:rsidP="00944A4F">
            <w:pPr>
              <w:cnfStyle w:val="000000000000"/>
              <w:rPr>
                <w:sz w:val="20"/>
              </w:rPr>
            </w:pPr>
            <w:r>
              <w:rPr>
                <w:sz w:val="20"/>
              </w:rPr>
              <w:t>590</w:t>
            </w:r>
          </w:p>
        </w:tc>
        <w:tc>
          <w:tcPr>
            <w:tcW w:w="2243" w:type="dxa"/>
          </w:tcPr>
          <w:p w:rsidR="00CA125B" w:rsidRPr="00A24C20" w:rsidRDefault="00CA125B" w:rsidP="00944A4F">
            <w:pPr>
              <w:cnfStyle w:val="000000000000"/>
              <w:rPr>
                <w:sz w:val="20"/>
              </w:rPr>
            </w:pPr>
            <w:r>
              <w:rPr>
                <w:sz w:val="20"/>
              </w:rPr>
              <w:t>2,600</w:t>
            </w:r>
          </w:p>
        </w:tc>
        <w:tc>
          <w:tcPr>
            <w:tcW w:w="2217" w:type="dxa"/>
          </w:tcPr>
          <w:p w:rsidR="00CA125B" w:rsidRPr="00A24C20" w:rsidRDefault="00CA125B" w:rsidP="00944A4F">
            <w:pPr>
              <w:cnfStyle w:val="000000000000"/>
              <w:rPr>
                <w:sz w:val="20"/>
              </w:rPr>
            </w:pPr>
            <w:r>
              <w:rPr>
                <w:sz w:val="20"/>
              </w:rPr>
              <w:t>120</w:t>
            </w:r>
            <w:r>
              <w:rPr>
                <w:sz w:val="20"/>
              </w:rPr>
              <w:sym w:font="Symbol" w:char="F0B0"/>
            </w:r>
          </w:p>
        </w:tc>
      </w:tr>
      <w:tr w:rsidR="00CA125B" w:rsidRPr="00A24C20" w:rsidTr="00944A4F">
        <w:trPr>
          <w:cnfStyle w:val="000000100000"/>
        </w:trPr>
        <w:tc>
          <w:tcPr>
            <w:cnfStyle w:val="001000000000"/>
            <w:tcW w:w="2204" w:type="dxa"/>
          </w:tcPr>
          <w:p w:rsidR="00CA125B" w:rsidRPr="00A24C20" w:rsidRDefault="00CA125B" w:rsidP="00944A4F">
            <w:pPr>
              <w:rPr>
                <w:b w:val="0"/>
                <w:sz w:val="20"/>
              </w:rPr>
            </w:pPr>
            <w:r w:rsidRPr="00A24C20">
              <w:rPr>
                <w:b w:val="0"/>
                <w:sz w:val="20"/>
              </w:rPr>
              <w:t>Amber</w:t>
            </w:r>
          </w:p>
        </w:tc>
        <w:tc>
          <w:tcPr>
            <w:tcW w:w="2192" w:type="dxa"/>
          </w:tcPr>
          <w:p w:rsidR="00CA125B" w:rsidRPr="00A24C20" w:rsidRDefault="00CA125B" w:rsidP="00944A4F">
            <w:pPr>
              <w:cnfStyle w:val="000000100000"/>
              <w:rPr>
                <w:sz w:val="20"/>
              </w:rPr>
            </w:pPr>
            <w:r>
              <w:rPr>
                <w:sz w:val="20"/>
              </w:rPr>
              <w:t>590</w:t>
            </w:r>
          </w:p>
        </w:tc>
        <w:tc>
          <w:tcPr>
            <w:tcW w:w="2243" w:type="dxa"/>
          </w:tcPr>
          <w:p w:rsidR="00CA125B" w:rsidRPr="00A24C20" w:rsidRDefault="00CA125B" w:rsidP="00944A4F">
            <w:pPr>
              <w:cnfStyle w:val="000000100000"/>
              <w:rPr>
                <w:sz w:val="20"/>
              </w:rPr>
            </w:pPr>
            <w:r>
              <w:rPr>
                <w:sz w:val="20"/>
              </w:rPr>
              <w:t>5,000</w:t>
            </w:r>
          </w:p>
        </w:tc>
        <w:tc>
          <w:tcPr>
            <w:tcW w:w="2217" w:type="dxa"/>
          </w:tcPr>
          <w:p w:rsidR="00CA125B" w:rsidRPr="00A24C20" w:rsidRDefault="00CA125B" w:rsidP="00944A4F">
            <w:pPr>
              <w:cnfStyle w:val="000000100000"/>
              <w:rPr>
                <w:sz w:val="20"/>
              </w:rPr>
            </w:pPr>
            <w:r>
              <w:rPr>
                <w:sz w:val="20"/>
              </w:rPr>
              <w:t>30</w:t>
            </w:r>
            <w:r>
              <w:rPr>
                <w:sz w:val="20"/>
              </w:rPr>
              <w:sym w:font="Symbol" w:char="F0B0"/>
            </w:r>
          </w:p>
        </w:tc>
      </w:tr>
      <w:tr w:rsidR="00CA125B" w:rsidRPr="00A24C20" w:rsidTr="00944A4F">
        <w:tc>
          <w:tcPr>
            <w:cnfStyle w:val="001000000000"/>
            <w:tcW w:w="2204" w:type="dxa"/>
          </w:tcPr>
          <w:p w:rsidR="00CA125B" w:rsidRPr="00A24C20" w:rsidRDefault="00CA125B" w:rsidP="00944A4F">
            <w:pPr>
              <w:rPr>
                <w:b w:val="0"/>
                <w:sz w:val="20"/>
              </w:rPr>
            </w:pPr>
            <w:r w:rsidRPr="00A24C20">
              <w:rPr>
                <w:b w:val="0"/>
                <w:sz w:val="20"/>
              </w:rPr>
              <w:t>Green</w:t>
            </w:r>
          </w:p>
        </w:tc>
        <w:tc>
          <w:tcPr>
            <w:tcW w:w="2192" w:type="dxa"/>
          </w:tcPr>
          <w:p w:rsidR="00CA125B" w:rsidRPr="00A24C20" w:rsidRDefault="00CA125B" w:rsidP="00944A4F">
            <w:pPr>
              <w:cnfStyle w:val="000000000000"/>
              <w:rPr>
                <w:sz w:val="20"/>
              </w:rPr>
            </w:pPr>
            <w:r>
              <w:rPr>
                <w:sz w:val="20"/>
              </w:rPr>
              <w:t>525</w:t>
            </w:r>
          </w:p>
        </w:tc>
        <w:tc>
          <w:tcPr>
            <w:tcW w:w="2243" w:type="dxa"/>
          </w:tcPr>
          <w:p w:rsidR="00CA125B" w:rsidRPr="00A24C20" w:rsidRDefault="00CA125B" w:rsidP="00944A4F">
            <w:pPr>
              <w:cnfStyle w:val="000000000000"/>
              <w:rPr>
                <w:sz w:val="20"/>
              </w:rPr>
            </w:pPr>
            <w:r>
              <w:rPr>
                <w:sz w:val="20"/>
              </w:rPr>
              <w:t>3,000</w:t>
            </w:r>
          </w:p>
        </w:tc>
        <w:tc>
          <w:tcPr>
            <w:tcW w:w="2217" w:type="dxa"/>
          </w:tcPr>
          <w:p w:rsidR="00CA125B" w:rsidRPr="00A24C20" w:rsidRDefault="00CA125B" w:rsidP="00944A4F">
            <w:pPr>
              <w:cnfStyle w:val="000000000000"/>
              <w:rPr>
                <w:sz w:val="20"/>
              </w:rPr>
            </w:pPr>
            <w:r>
              <w:rPr>
                <w:sz w:val="20"/>
              </w:rPr>
              <w:t>120</w:t>
            </w:r>
            <w:r>
              <w:rPr>
                <w:sz w:val="20"/>
              </w:rPr>
              <w:sym w:font="Symbol" w:char="F0B0"/>
            </w:r>
          </w:p>
        </w:tc>
      </w:tr>
      <w:tr w:rsidR="00CA125B" w:rsidRPr="00A24C20" w:rsidTr="00944A4F">
        <w:trPr>
          <w:cnfStyle w:val="000000100000"/>
        </w:trPr>
        <w:tc>
          <w:tcPr>
            <w:cnfStyle w:val="001000000000"/>
            <w:tcW w:w="2204" w:type="dxa"/>
          </w:tcPr>
          <w:p w:rsidR="00CA125B" w:rsidRPr="00A24C20" w:rsidRDefault="00CA125B" w:rsidP="00944A4F">
            <w:pPr>
              <w:rPr>
                <w:b w:val="0"/>
                <w:sz w:val="20"/>
              </w:rPr>
            </w:pPr>
            <w:r w:rsidRPr="00A24C20">
              <w:rPr>
                <w:b w:val="0"/>
                <w:sz w:val="20"/>
              </w:rPr>
              <w:t>Green</w:t>
            </w:r>
          </w:p>
        </w:tc>
        <w:tc>
          <w:tcPr>
            <w:tcW w:w="2192" w:type="dxa"/>
          </w:tcPr>
          <w:p w:rsidR="00CA125B" w:rsidRPr="00A24C20" w:rsidRDefault="00CA125B" w:rsidP="00944A4F">
            <w:pPr>
              <w:cnfStyle w:val="000000100000"/>
              <w:rPr>
                <w:sz w:val="20"/>
              </w:rPr>
            </w:pPr>
            <w:r>
              <w:rPr>
                <w:sz w:val="20"/>
              </w:rPr>
              <w:t>525</w:t>
            </w:r>
          </w:p>
        </w:tc>
        <w:tc>
          <w:tcPr>
            <w:tcW w:w="2243" w:type="dxa"/>
          </w:tcPr>
          <w:p w:rsidR="00CA125B" w:rsidRPr="00A24C20" w:rsidRDefault="00CA125B" w:rsidP="00944A4F">
            <w:pPr>
              <w:cnfStyle w:val="000000100000"/>
              <w:rPr>
                <w:sz w:val="20"/>
              </w:rPr>
            </w:pPr>
            <w:r>
              <w:rPr>
                <w:sz w:val="20"/>
              </w:rPr>
              <w:t>9,000</w:t>
            </w:r>
          </w:p>
        </w:tc>
        <w:tc>
          <w:tcPr>
            <w:tcW w:w="2217" w:type="dxa"/>
          </w:tcPr>
          <w:p w:rsidR="00CA125B" w:rsidRPr="00A24C20" w:rsidRDefault="00CA125B" w:rsidP="00944A4F">
            <w:pPr>
              <w:cnfStyle w:val="000000100000"/>
              <w:rPr>
                <w:sz w:val="20"/>
              </w:rPr>
            </w:pPr>
            <w:r>
              <w:rPr>
                <w:sz w:val="20"/>
              </w:rPr>
              <w:t>30</w:t>
            </w:r>
            <w:r>
              <w:rPr>
                <w:sz w:val="20"/>
              </w:rPr>
              <w:sym w:font="Symbol" w:char="F0B0"/>
            </w:r>
          </w:p>
        </w:tc>
      </w:tr>
      <w:tr w:rsidR="00CA125B" w:rsidRPr="00A24C20" w:rsidTr="00944A4F">
        <w:tc>
          <w:tcPr>
            <w:cnfStyle w:val="001000000000"/>
            <w:tcW w:w="2204" w:type="dxa"/>
          </w:tcPr>
          <w:p w:rsidR="00CA125B" w:rsidRPr="00A24C20" w:rsidRDefault="00CA125B" w:rsidP="00944A4F">
            <w:pPr>
              <w:rPr>
                <w:b w:val="0"/>
                <w:sz w:val="20"/>
              </w:rPr>
            </w:pPr>
            <w:r w:rsidRPr="00A24C20">
              <w:rPr>
                <w:b w:val="0"/>
                <w:sz w:val="20"/>
              </w:rPr>
              <w:t>Blue</w:t>
            </w:r>
          </w:p>
        </w:tc>
        <w:tc>
          <w:tcPr>
            <w:tcW w:w="2192" w:type="dxa"/>
          </w:tcPr>
          <w:p w:rsidR="00CA125B" w:rsidRPr="00A24C20" w:rsidRDefault="00CA125B" w:rsidP="00944A4F">
            <w:pPr>
              <w:cnfStyle w:val="000000000000"/>
              <w:rPr>
                <w:sz w:val="20"/>
              </w:rPr>
            </w:pPr>
            <w:r>
              <w:rPr>
                <w:sz w:val="20"/>
              </w:rPr>
              <w:t>470</w:t>
            </w:r>
          </w:p>
        </w:tc>
        <w:tc>
          <w:tcPr>
            <w:tcW w:w="2243" w:type="dxa"/>
          </w:tcPr>
          <w:p w:rsidR="00CA125B" w:rsidRPr="00A24C20" w:rsidRDefault="00CA125B" w:rsidP="00944A4F">
            <w:pPr>
              <w:cnfStyle w:val="000000000000"/>
              <w:rPr>
                <w:sz w:val="20"/>
              </w:rPr>
            </w:pPr>
            <w:r>
              <w:rPr>
                <w:sz w:val="20"/>
              </w:rPr>
              <w:t>700</w:t>
            </w:r>
          </w:p>
        </w:tc>
        <w:tc>
          <w:tcPr>
            <w:tcW w:w="2217" w:type="dxa"/>
          </w:tcPr>
          <w:p w:rsidR="00CA125B" w:rsidRPr="00A24C20" w:rsidRDefault="00CA125B" w:rsidP="00944A4F">
            <w:pPr>
              <w:cnfStyle w:val="000000000000"/>
              <w:rPr>
                <w:sz w:val="20"/>
              </w:rPr>
            </w:pPr>
            <w:r>
              <w:rPr>
                <w:sz w:val="20"/>
              </w:rPr>
              <w:t>120</w:t>
            </w:r>
            <w:r>
              <w:rPr>
                <w:sz w:val="20"/>
              </w:rPr>
              <w:sym w:font="Symbol" w:char="F0B0"/>
            </w:r>
          </w:p>
        </w:tc>
      </w:tr>
      <w:tr w:rsidR="00CA125B" w:rsidRPr="00A24C20" w:rsidTr="00944A4F">
        <w:trPr>
          <w:cnfStyle w:val="000000100000"/>
        </w:trPr>
        <w:tc>
          <w:tcPr>
            <w:cnfStyle w:val="001000000000"/>
            <w:tcW w:w="2204" w:type="dxa"/>
          </w:tcPr>
          <w:p w:rsidR="00CA125B" w:rsidRPr="00A24C20" w:rsidRDefault="00CA125B" w:rsidP="00944A4F">
            <w:pPr>
              <w:rPr>
                <w:b w:val="0"/>
                <w:sz w:val="20"/>
              </w:rPr>
            </w:pPr>
            <w:r w:rsidRPr="00A24C20">
              <w:rPr>
                <w:b w:val="0"/>
                <w:sz w:val="20"/>
              </w:rPr>
              <w:t>White</w:t>
            </w:r>
          </w:p>
        </w:tc>
        <w:tc>
          <w:tcPr>
            <w:tcW w:w="2192" w:type="dxa"/>
          </w:tcPr>
          <w:p w:rsidR="00CA125B" w:rsidRPr="00A24C20" w:rsidRDefault="00CA125B" w:rsidP="00944A4F">
            <w:pPr>
              <w:cnfStyle w:val="000000100000"/>
              <w:rPr>
                <w:sz w:val="20"/>
              </w:rPr>
            </w:pPr>
            <w:r>
              <w:rPr>
                <w:sz w:val="20"/>
              </w:rPr>
              <w:t>x= 0.31 y= 0.32</w:t>
            </w:r>
          </w:p>
        </w:tc>
        <w:tc>
          <w:tcPr>
            <w:tcW w:w="2243" w:type="dxa"/>
          </w:tcPr>
          <w:p w:rsidR="00CA125B" w:rsidRPr="00A24C20" w:rsidRDefault="00CA125B" w:rsidP="00944A4F">
            <w:pPr>
              <w:cnfStyle w:val="000000100000"/>
              <w:rPr>
                <w:sz w:val="20"/>
              </w:rPr>
            </w:pPr>
            <w:r>
              <w:rPr>
                <w:sz w:val="20"/>
              </w:rPr>
              <w:t>5,500</w:t>
            </w:r>
          </w:p>
        </w:tc>
        <w:tc>
          <w:tcPr>
            <w:tcW w:w="2217" w:type="dxa"/>
          </w:tcPr>
          <w:p w:rsidR="00CA125B" w:rsidRPr="00A24C20" w:rsidRDefault="00CA125B" w:rsidP="00944A4F">
            <w:pPr>
              <w:cnfStyle w:val="000000100000"/>
              <w:rPr>
                <w:sz w:val="20"/>
              </w:rPr>
            </w:pPr>
            <w:r>
              <w:rPr>
                <w:sz w:val="20"/>
              </w:rPr>
              <w:t>120</w:t>
            </w:r>
            <w:r>
              <w:rPr>
                <w:sz w:val="20"/>
              </w:rPr>
              <w:sym w:font="Symbol" w:char="F0B0"/>
            </w:r>
          </w:p>
        </w:tc>
      </w:tr>
      <w:tr w:rsidR="00CA125B" w:rsidRPr="00A24C20" w:rsidTr="00944A4F">
        <w:tc>
          <w:tcPr>
            <w:cnfStyle w:val="001000000000"/>
            <w:tcW w:w="2204" w:type="dxa"/>
          </w:tcPr>
          <w:p w:rsidR="00CA125B" w:rsidRPr="00A24C20" w:rsidRDefault="00CA125B" w:rsidP="00944A4F">
            <w:pPr>
              <w:rPr>
                <w:b w:val="0"/>
                <w:sz w:val="20"/>
              </w:rPr>
            </w:pPr>
            <w:r w:rsidRPr="00A24C20">
              <w:rPr>
                <w:b w:val="0"/>
                <w:sz w:val="20"/>
              </w:rPr>
              <w:t>White</w:t>
            </w:r>
          </w:p>
        </w:tc>
        <w:tc>
          <w:tcPr>
            <w:tcW w:w="2192" w:type="dxa"/>
          </w:tcPr>
          <w:p w:rsidR="00CA125B" w:rsidRPr="00A24C20" w:rsidRDefault="00CA125B" w:rsidP="00944A4F">
            <w:pPr>
              <w:cnfStyle w:val="000000000000"/>
              <w:rPr>
                <w:sz w:val="20"/>
              </w:rPr>
            </w:pPr>
            <w:r>
              <w:rPr>
                <w:sz w:val="20"/>
              </w:rPr>
              <w:t>x= 0.31 y= 0.32</w:t>
            </w:r>
          </w:p>
        </w:tc>
        <w:tc>
          <w:tcPr>
            <w:tcW w:w="2243" w:type="dxa"/>
          </w:tcPr>
          <w:p w:rsidR="00CA125B" w:rsidRPr="00A24C20" w:rsidRDefault="00CA125B" w:rsidP="00944A4F">
            <w:pPr>
              <w:cnfStyle w:val="000000000000"/>
              <w:rPr>
                <w:sz w:val="20"/>
              </w:rPr>
            </w:pPr>
            <w:r>
              <w:rPr>
                <w:sz w:val="20"/>
              </w:rPr>
              <w:t>27,000</w:t>
            </w:r>
          </w:p>
        </w:tc>
        <w:tc>
          <w:tcPr>
            <w:tcW w:w="2217" w:type="dxa"/>
          </w:tcPr>
          <w:p w:rsidR="00CA125B" w:rsidRPr="00A24C20" w:rsidRDefault="00CA125B" w:rsidP="00944A4F">
            <w:pPr>
              <w:cnfStyle w:val="000000000000"/>
              <w:rPr>
                <w:sz w:val="20"/>
              </w:rPr>
            </w:pPr>
            <w:r>
              <w:rPr>
                <w:sz w:val="20"/>
              </w:rPr>
              <w:t>30</w:t>
            </w:r>
            <w:r>
              <w:rPr>
                <w:sz w:val="20"/>
              </w:rPr>
              <w:sym w:font="Symbol" w:char="F0B0"/>
            </w:r>
          </w:p>
        </w:tc>
      </w:tr>
    </w:tbl>
    <w:p w:rsidR="00CA125B" w:rsidRPr="00A24C20" w:rsidRDefault="00CA125B" w:rsidP="00CA125B">
      <w:pPr>
        <w:ind w:left="720"/>
      </w:pPr>
    </w:p>
    <w:p w:rsidR="00CA125B" w:rsidRDefault="00CA125B" w:rsidP="00CA125B">
      <w:pPr>
        <w:pStyle w:val="ListParagraph"/>
        <w:numPr>
          <w:ilvl w:val="1"/>
          <w:numId w:val="7"/>
        </w:numPr>
      </w:pPr>
      <w:r>
        <w:t>Regulated DC Power Supplies</w:t>
      </w:r>
    </w:p>
    <w:p w:rsidR="00CA125B" w:rsidRDefault="00CA125B" w:rsidP="00CA125B">
      <w:pPr>
        <w:pStyle w:val="ListParagraph"/>
        <w:numPr>
          <w:ilvl w:val="2"/>
          <w:numId w:val="7"/>
        </w:numPr>
      </w:pPr>
      <w:r>
        <w:t>The LED Circuit board shall be powered with auto-ranging regulated switching power supply that converts the incoming AC electricity to DC, at a nominal voltage of 12VDC.</w:t>
      </w:r>
    </w:p>
    <w:p w:rsidR="00CA125B" w:rsidRDefault="00CA125B" w:rsidP="00CA125B">
      <w:pPr>
        <w:pStyle w:val="ListParagraph"/>
        <w:numPr>
          <w:ilvl w:val="2"/>
          <w:numId w:val="7"/>
        </w:numPr>
      </w:pPr>
      <w:r>
        <w:t>Power supplied shall be UL recognized.</w:t>
      </w:r>
    </w:p>
    <w:p w:rsidR="00CA125B" w:rsidRDefault="00CA125B" w:rsidP="00CA125B">
      <w:pPr>
        <w:pStyle w:val="ListParagraph"/>
        <w:numPr>
          <w:ilvl w:val="2"/>
          <w:numId w:val="7"/>
        </w:numPr>
      </w:pPr>
      <w:r>
        <w:t xml:space="preserve">Power supplies shall be arranged in a redundant parallel configuration, and rated such that if one supply fails the remaining supply shall be able to operate 100% of the LEDs in the sign message. </w:t>
      </w:r>
    </w:p>
    <w:p w:rsidR="00CA125B" w:rsidRDefault="00CA125B" w:rsidP="00CA125B">
      <w:pPr>
        <w:pStyle w:val="ListParagraph"/>
        <w:numPr>
          <w:ilvl w:val="2"/>
          <w:numId w:val="7"/>
        </w:numPr>
      </w:pPr>
      <w:r>
        <w:t>The pair of power supplies shall contain two physically and electrically independent supplies. The pair of power supplies shall be placed in parallel according to the manufacturer’s recommendations.</w:t>
      </w:r>
    </w:p>
    <w:p w:rsidR="00CA125B" w:rsidRDefault="00CA125B" w:rsidP="00CA125B">
      <w:pPr>
        <w:pStyle w:val="ListParagraph"/>
        <w:numPr>
          <w:ilvl w:val="2"/>
          <w:numId w:val="7"/>
        </w:numPr>
      </w:pPr>
      <w:r>
        <w:t>Power supplies used to power the LED sign message and its controller board shall be identical and interchangeable.</w:t>
      </w:r>
    </w:p>
    <w:p w:rsidR="00CA125B" w:rsidRDefault="00CA125B" w:rsidP="00CA125B">
      <w:pPr>
        <w:pStyle w:val="ListParagraph"/>
        <w:numPr>
          <w:ilvl w:val="1"/>
          <w:numId w:val="7"/>
        </w:numPr>
      </w:pPr>
      <w:r>
        <w:t>Power Supply Specifications:</w:t>
      </w:r>
    </w:p>
    <w:p w:rsidR="00CA125B" w:rsidRDefault="00CA125B" w:rsidP="00CA125B">
      <w:pPr>
        <w:pStyle w:val="ListParagraph"/>
        <w:numPr>
          <w:ilvl w:val="2"/>
          <w:numId w:val="7"/>
        </w:numPr>
      </w:pPr>
      <w:r>
        <w:lastRenderedPageBreak/>
        <w:t>Nominal output voltage: 12 VDC ±10%.</w:t>
      </w:r>
    </w:p>
    <w:p w:rsidR="00CA125B" w:rsidRDefault="00CA125B" w:rsidP="00CA125B">
      <w:pPr>
        <w:pStyle w:val="ListParagraph"/>
        <w:numPr>
          <w:ilvl w:val="2"/>
          <w:numId w:val="7"/>
        </w:numPr>
      </w:pPr>
      <w:r>
        <w:t>Operating temperature range for 100% output power: -40</w:t>
      </w:r>
      <w:r>
        <w:sym w:font="Symbol" w:char="F0B0"/>
      </w:r>
      <w:r>
        <w:t>F to +140</w:t>
      </w:r>
      <w:r>
        <w:sym w:font="Symbol" w:char="F0B0"/>
      </w:r>
      <w:r>
        <w:t>F</w:t>
      </w:r>
    </w:p>
    <w:p w:rsidR="00CA125B" w:rsidRDefault="00CA125B" w:rsidP="00CA125B">
      <w:pPr>
        <w:pStyle w:val="ListParagraph"/>
        <w:numPr>
          <w:ilvl w:val="2"/>
          <w:numId w:val="7"/>
        </w:numPr>
      </w:pPr>
      <w:r>
        <w:t>Operating input voltage range: 85 VAC to 264 VAC.</w:t>
      </w:r>
    </w:p>
    <w:p w:rsidR="00CA125B" w:rsidRDefault="00CA125B" w:rsidP="00CA125B">
      <w:pPr>
        <w:pStyle w:val="ListParagraph"/>
        <w:numPr>
          <w:ilvl w:val="2"/>
          <w:numId w:val="7"/>
        </w:numPr>
      </w:pPr>
      <w:r>
        <w:t>Typical power supply efficiency: 81%</w:t>
      </w:r>
    </w:p>
    <w:p w:rsidR="00CA125B" w:rsidRDefault="00CA125B" w:rsidP="00CA125B">
      <w:pPr>
        <w:pStyle w:val="ListParagraph"/>
        <w:numPr>
          <w:ilvl w:val="2"/>
          <w:numId w:val="7"/>
        </w:numPr>
      </w:pPr>
      <w:r>
        <w:t>Minimum power factor rating: 0.93.</w:t>
      </w:r>
    </w:p>
    <w:p w:rsidR="00CA125B" w:rsidRDefault="00CA125B" w:rsidP="00CA125B">
      <w:pPr>
        <w:pStyle w:val="ListParagraph"/>
        <w:numPr>
          <w:ilvl w:val="2"/>
          <w:numId w:val="7"/>
        </w:numPr>
      </w:pPr>
      <w:r>
        <w:t>The power supply shall not be taxed beyond 65% of its rated maximum rated output.</w:t>
      </w:r>
    </w:p>
    <w:p w:rsidR="00CA125B" w:rsidRPr="00BE475B" w:rsidRDefault="00CA125B" w:rsidP="00CA125B">
      <w:pPr>
        <w:pStyle w:val="ListParagraph"/>
        <w:numPr>
          <w:ilvl w:val="2"/>
          <w:numId w:val="7"/>
        </w:numPr>
      </w:pPr>
      <w:r w:rsidRPr="00BE475B">
        <w:t>Power supply input circuit shall be fused.</w:t>
      </w:r>
    </w:p>
    <w:p w:rsidR="00CA125B" w:rsidRDefault="00CA125B" w:rsidP="00CA125B">
      <w:pPr>
        <w:pStyle w:val="ListParagraph"/>
        <w:numPr>
          <w:ilvl w:val="2"/>
          <w:numId w:val="7"/>
        </w:numPr>
      </w:pPr>
      <w:r>
        <w:t>Automatic output shutdown and restart if the power supply experiences any of the following output faults: over-voltage, short circuit, or over-current.</w:t>
      </w:r>
    </w:p>
    <w:p w:rsidR="00CA125B" w:rsidRDefault="00CA125B" w:rsidP="00CA125B">
      <w:pPr>
        <w:pStyle w:val="ListParagraph"/>
        <w:numPr>
          <w:ilvl w:val="0"/>
          <w:numId w:val="7"/>
        </w:numPr>
      </w:pPr>
      <w:r w:rsidRPr="00E176E6">
        <w:t>Wiring and Power Distribution</w:t>
      </w:r>
    </w:p>
    <w:p w:rsidR="00CA125B" w:rsidRDefault="00CA125B" w:rsidP="00CA125B">
      <w:pPr>
        <w:pStyle w:val="ListParagraph"/>
        <w:numPr>
          <w:ilvl w:val="1"/>
          <w:numId w:val="7"/>
        </w:numPr>
      </w:pPr>
      <w:r>
        <w:t>Internal Wiring</w:t>
      </w:r>
    </w:p>
    <w:p w:rsidR="00CA125B" w:rsidRDefault="00CA125B" w:rsidP="00CA125B">
      <w:pPr>
        <w:pStyle w:val="ListParagraph"/>
        <w:numPr>
          <w:ilvl w:val="2"/>
          <w:numId w:val="7"/>
        </w:numPr>
      </w:pPr>
      <w:r>
        <w:t xml:space="preserve">Wiring for the sign components shall be installed in a neat and professional manner. Wiring shall not impede the removal of power supplies or other sign components. </w:t>
      </w:r>
    </w:p>
    <w:p w:rsidR="00CA125B" w:rsidRDefault="00CA125B" w:rsidP="00CA125B">
      <w:pPr>
        <w:pStyle w:val="ListParagraph"/>
        <w:numPr>
          <w:ilvl w:val="2"/>
          <w:numId w:val="7"/>
        </w:numPr>
      </w:pPr>
      <w:r>
        <w:t>Wires shall not make contact with, nor bend around sharp metal edges. All wiring shall conform to the National Electrical Code</w:t>
      </w:r>
    </w:p>
    <w:p w:rsidR="00CA125B" w:rsidRDefault="00CA125B" w:rsidP="00CA125B">
      <w:pPr>
        <w:pStyle w:val="ListParagraph"/>
        <w:numPr>
          <w:ilvl w:val="2"/>
          <w:numId w:val="7"/>
        </w:numPr>
      </w:pPr>
      <w:r>
        <w:t>All internal wiring shall use drip loops.</w:t>
      </w:r>
    </w:p>
    <w:p w:rsidR="00CA125B" w:rsidRPr="002B5B94" w:rsidRDefault="00CA125B" w:rsidP="00CA125B">
      <w:pPr>
        <w:pStyle w:val="ListParagraph"/>
        <w:numPr>
          <w:ilvl w:val="1"/>
          <w:numId w:val="7"/>
        </w:numPr>
      </w:pPr>
      <w:r w:rsidRPr="002B5B94">
        <w:t>Earth Grounding</w:t>
      </w:r>
    </w:p>
    <w:p w:rsidR="00CA125B" w:rsidRDefault="00CA125B" w:rsidP="00CA125B">
      <w:pPr>
        <w:pStyle w:val="ListParagraph"/>
        <w:numPr>
          <w:ilvl w:val="2"/>
          <w:numId w:val="7"/>
        </w:numPr>
      </w:pPr>
      <w:r>
        <w:t>Cabinet shall have one earth ground lug that is electrically bonded to the sign cabinet. All earth grounding shall conform to the National Electrical Code.</w:t>
      </w:r>
    </w:p>
    <w:p w:rsidR="00CA125B" w:rsidRDefault="00CA125B" w:rsidP="00CA125B">
      <w:pPr>
        <w:pStyle w:val="ListParagraph"/>
        <w:numPr>
          <w:ilvl w:val="1"/>
          <w:numId w:val="7"/>
        </w:numPr>
      </w:pPr>
      <w:r>
        <w:t>UL/cUL Listed for wet locations</w:t>
      </w:r>
    </w:p>
    <w:p w:rsidR="00CA125B" w:rsidRDefault="00CA125B" w:rsidP="00CA125B">
      <w:pPr>
        <w:pStyle w:val="ListParagraph"/>
        <w:numPr>
          <w:ilvl w:val="0"/>
          <w:numId w:val="7"/>
        </w:numPr>
      </w:pPr>
      <w:r>
        <w:t>Environmental Monitoring System</w:t>
      </w:r>
    </w:p>
    <w:p w:rsidR="00CA125B" w:rsidRDefault="00CA125B" w:rsidP="00CA125B">
      <w:pPr>
        <w:pStyle w:val="ListParagraph"/>
        <w:numPr>
          <w:ilvl w:val="1"/>
          <w:numId w:val="7"/>
        </w:numPr>
      </w:pPr>
      <w:r>
        <w:t>Ambient Light Measurement</w:t>
      </w:r>
    </w:p>
    <w:p w:rsidR="00CA125B" w:rsidRDefault="00CA125B" w:rsidP="00CA125B">
      <w:pPr>
        <w:pStyle w:val="ListParagraph"/>
        <w:numPr>
          <w:ilvl w:val="2"/>
          <w:numId w:val="7"/>
        </w:numPr>
      </w:pPr>
      <w:r>
        <w:t>Sensors that measure the outdoor ambient light level at the site shall be mounted directly to the LED circuit board.</w:t>
      </w:r>
    </w:p>
    <w:p w:rsidR="00CA125B" w:rsidRDefault="00CA125B" w:rsidP="00CA125B">
      <w:pPr>
        <w:pStyle w:val="ListParagraph"/>
        <w:numPr>
          <w:ilvl w:val="2"/>
          <w:numId w:val="7"/>
        </w:numPr>
      </w:pPr>
      <w:r>
        <w:t>Three photocell sensors shall be placed such that they measure the ambient light striking the front face. The sign controller shall continuously monitor the light sensors and adjust the LED light intensity to a level that creates a legible message on the face.</w:t>
      </w:r>
    </w:p>
    <w:p w:rsidR="00CA125B" w:rsidRDefault="00CA125B" w:rsidP="00CA125B">
      <w:pPr>
        <w:pStyle w:val="ListParagraph"/>
        <w:numPr>
          <w:ilvl w:val="2"/>
          <w:numId w:val="7"/>
        </w:numPr>
      </w:pPr>
      <w:r>
        <w:t>Photocell sensors shall operate in a redundant manner such that if one sensor fails, the remaining light sensors shall continue to adjust the LED light intensity to create a legible message on the face.</w:t>
      </w:r>
    </w:p>
    <w:p w:rsidR="00CA125B" w:rsidRDefault="00CA125B" w:rsidP="00CA125B">
      <w:pPr>
        <w:pStyle w:val="ListParagraph"/>
        <w:numPr>
          <w:ilvl w:val="2"/>
          <w:numId w:val="7"/>
        </w:numPr>
      </w:pPr>
      <w:r>
        <w:t>The LED automatic dimming functionality shall continue normally with only a single functioning sensor remaining.</w:t>
      </w:r>
    </w:p>
    <w:sectPr w:rsidR="00CA125B" w:rsidSect="003D4E4D">
      <w:footerReference w:type="default" r:id="rId8"/>
      <w:pgSz w:w="12240" w:h="15840"/>
      <w:pgMar w:top="1152"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F74" w:rsidRDefault="00FD0F74" w:rsidP="003D4E4D">
      <w:pPr>
        <w:spacing w:after="0" w:line="240" w:lineRule="auto"/>
      </w:pPr>
      <w:r>
        <w:separator/>
      </w:r>
    </w:p>
  </w:endnote>
  <w:endnote w:type="continuationSeparator" w:id="0">
    <w:p w:rsidR="00FD0F74" w:rsidRDefault="00FD0F74" w:rsidP="003D4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3D4E4D">
      <w:tc>
        <w:tcPr>
          <w:tcW w:w="500" w:type="pct"/>
          <w:tcBorders>
            <w:top w:val="single" w:sz="4" w:space="0" w:color="943634" w:themeColor="accent2" w:themeShade="BF"/>
          </w:tcBorders>
          <w:shd w:val="clear" w:color="auto" w:fill="943634" w:themeFill="accent2" w:themeFillShade="BF"/>
        </w:tcPr>
        <w:p w:rsidR="003D4E4D" w:rsidRDefault="00485567">
          <w:pPr>
            <w:pStyle w:val="Footer"/>
            <w:jc w:val="right"/>
            <w:rPr>
              <w:b/>
              <w:color w:val="FFFFFF" w:themeColor="background1"/>
            </w:rPr>
          </w:pPr>
          <w:fldSimple w:instr=" PAGE   \* MERGEFORMAT ">
            <w:r w:rsidR="00CA125B" w:rsidRPr="00CA125B">
              <w:rPr>
                <w:noProof/>
                <w:color w:val="FFFFFF" w:themeColor="background1"/>
              </w:rPr>
              <w:t>4</w:t>
            </w:r>
          </w:fldSimple>
        </w:p>
      </w:tc>
      <w:tc>
        <w:tcPr>
          <w:tcW w:w="4500" w:type="pct"/>
          <w:tcBorders>
            <w:top w:val="single" w:sz="4" w:space="0" w:color="auto"/>
          </w:tcBorders>
        </w:tcPr>
        <w:p w:rsidR="003D4E4D" w:rsidRDefault="00485567" w:rsidP="00CA125B">
          <w:pPr>
            <w:pStyle w:val="Footer"/>
          </w:pPr>
          <w:sdt>
            <w:sdtPr>
              <w:alias w:val="Company"/>
              <w:id w:val="75914618"/>
              <w:placeholder>
                <w:docPart w:val="04EC918945694D37B495A7470D3427AF"/>
              </w:placeholder>
              <w:dataBinding w:prefixMappings="xmlns:ns0='http://schemas.openxmlformats.org/officeDocument/2006/extended-properties'" w:xpath="/ns0:Properties[1]/ns0:Company[1]" w:storeItemID="{6668398D-A668-4E3E-A5EB-62B293D839F1}"/>
              <w:text/>
            </w:sdtPr>
            <w:sdtContent>
              <w:r w:rsidR="003D4E4D">
                <w:t xml:space="preserve">Signal-Tech  </w:t>
              </w:r>
              <w:r w:rsidR="00CA125B">
                <w:t>DOT Series LED Blank-out Sign in IP66/NEMA 4X Cabinet                   January 2016</w:t>
              </w:r>
            </w:sdtContent>
          </w:sdt>
        </w:p>
      </w:tc>
    </w:tr>
  </w:tbl>
  <w:p w:rsidR="003D4E4D" w:rsidRDefault="003D4E4D">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F74" w:rsidRDefault="00FD0F74" w:rsidP="003D4E4D">
      <w:pPr>
        <w:spacing w:after="0" w:line="240" w:lineRule="auto"/>
      </w:pPr>
      <w:r>
        <w:separator/>
      </w:r>
    </w:p>
  </w:footnote>
  <w:footnote w:type="continuationSeparator" w:id="0">
    <w:p w:rsidR="00FD0F74" w:rsidRDefault="00FD0F74" w:rsidP="003D4E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F7A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4744D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90636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BB06F7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75902F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4FD6FD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79FD43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E03B0"/>
    <w:rsid w:val="00003093"/>
    <w:rsid w:val="00077AFA"/>
    <w:rsid w:val="000C296F"/>
    <w:rsid w:val="001006AC"/>
    <w:rsid w:val="001034E1"/>
    <w:rsid w:val="001E03B0"/>
    <w:rsid w:val="00207190"/>
    <w:rsid w:val="00284ACB"/>
    <w:rsid w:val="002E516B"/>
    <w:rsid w:val="003442D8"/>
    <w:rsid w:val="00360CFD"/>
    <w:rsid w:val="003D4E4D"/>
    <w:rsid w:val="003F0517"/>
    <w:rsid w:val="00437A80"/>
    <w:rsid w:val="00447DBE"/>
    <w:rsid w:val="00485567"/>
    <w:rsid w:val="00556C50"/>
    <w:rsid w:val="005B0FD8"/>
    <w:rsid w:val="005C3A30"/>
    <w:rsid w:val="005D5582"/>
    <w:rsid w:val="00634CF9"/>
    <w:rsid w:val="006B5E5D"/>
    <w:rsid w:val="006E3CC3"/>
    <w:rsid w:val="00710DA7"/>
    <w:rsid w:val="00790178"/>
    <w:rsid w:val="007C16CD"/>
    <w:rsid w:val="007C61E9"/>
    <w:rsid w:val="007D3F18"/>
    <w:rsid w:val="008448B6"/>
    <w:rsid w:val="008C7A4D"/>
    <w:rsid w:val="0096111C"/>
    <w:rsid w:val="009922AA"/>
    <w:rsid w:val="009F7026"/>
    <w:rsid w:val="00A01596"/>
    <w:rsid w:val="00B27724"/>
    <w:rsid w:val="00B82BDF"/>
    <w:rsid w:val="00C409D5"/>
    <w:rsid w:val="00C574EC"/>
    <w:rsid w:val="00C6597A"/>
    <w:rsid w:val="00CA125B"/>
    <w:rsid w:val="00D62033"/>
    <w:rsid w:val="00E06AD0"/>
    <w:rsid w:val="00E80160"/>
    <w:rsid w:val="00E8623F"/>
    <w:rsid w:val="00F5399C"/>
    <w:rsid w:val="00FD0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99C"/>
  </w:style>
  <w:style w:type="paragraph" w:styleId="Heading1">
    <w:name w:val="heading 1"/>
    <w:basedOn w:val="Normal"/>
    <w:next w:val="Normal"/>
    <w:link w:val="Heading1Char"/>
    <w:uiPriority w:val="9"/>
    <w:qFormat/>
    <w:rsid w:val="001E03B0"/>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03B0"/>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03B0"/>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03B0"/>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E03B0"/>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E03B0"/>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E03B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E03B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E03B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3B0"/>
    <w:pPr>
      <w:ind w:left="720"/>
      <w:contextualSpacing/>
    </w:pPr>
  </w:style>
  <w:style w:type="character" w:customStyle="1" w:styleId="Heading1Char">
    <w:name w:val="Heading 1 Char"/>
    <w:basedOn w:val="DefaultParagraphFont"/>
    <w:link w:val="Heading1"/>
    <w:uiPriority w:val="9"/>
    <w:rsid w:val="001E03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03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03B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E03B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E03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E03B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E03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E03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E03B0"/>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3F0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09D5"/>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6E3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CC3"/>
    <w:rPr>
      <w:rFonts w:ascii="Tahoma" w:hAnsi="Tahoma" w:cs="Tahoma"/>
      <w:sz w:val="16"/>
      <w:szCs w:val="16"/>
    </w:rPr>
  </w:style>
  <w:style w:type="paragraph" w:styleId="Header">
    <w:name w:val="header"/>
    <w:basedOn w:val="Normal"/>
    <w:link w:val="HeaderChar"/>
    <w:uiPriority w:val="99"/>
    <w:semiHidden/>
    <w:unhideWhenUsed/>
    <w:rsid w:val="003D4E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4E4D"/>
  </w:style>
  <w:style w:type="paragraph" w:styleId="Footer">
    <w:name w:val="footer"/>
    <w:basedOn w:val="Normal"/>
    <w:link w:val="FooterChar"/>
    <w:uiPriority w:val="99"/>
    <w:unhideWhenUsed/>
    <w:rsid w:val="003D4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E4D"/>
  </w:style>
  <w:style w:type="paragraph" w:styleId="NoSpacing">
    <w:name w:val="No Spacing"/>
    <w:uiPriority w:val="1"/>
    <w:qFormat/>
    <w:rsid w:val="000C296F"/>
    <w:pPr>
      <w:spacing w:after="0" w:line="240" w:lineRule="auto"/>
    </w:pPr>
  </w:style>
  <w:style w:type="table" w:styleId="MediumGrid1-Accent3">
    <w:name w:val="Medium Grid 1 Accent 3"/>
    <w:basedOn w:val="TableNormal"/>
    <w:uiPriority w:val="67"/>
    <w:rsid w:val="00CA125B"/>
    <w:pPr>
      <w:spacing w:after="0" w:line="240" w:lineRule="auto"/>
    </w:pPr>
    <w:rPr>
      <w:rFonts w:ascii="Times New Roman" w:hAnsi="Times New Roman" w:cs="Times New Roman"/>
      <w:sz w:val="24"/>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divs>
    <w:div w:id="271597202">
      <w:bodyDiv w:val="1"/>
      <w:marLeft w:val="0"/>
      <w:marRight w:val="0"/>
      <w:marTop w:val="0"/>
      <w:marBottom w:val="0"/>
      <w:divBdr>
        <w:top w:val="none" w:sz="0" w:space="0" w:color="auto"/>
        <w:left w:val="none" w:sz="0" w:space="0" w:color="auto"/>
        <w:bottom w:val="none" w:sz="0" w:space="0" w:color="auto"/>
        <w:right w:val="none" w:sz="0" w:space="0" w:color="auto"/>
      </w:divBdr>
      <w:divsChild>
        <w:div w:id="15693577">
          <w:marLeft w:val="0"/>
          <w:marRight w:val="0"/>
          <w:marTop w:val="0"/>
          <w:marBottom w:val="0"/>
          <w:divBdr>
            <w:top w:val="none" w:sz="0" w:space="0" w:color="auto"/>
            <w:left w:val="none" w:sz="0" w:space="0" w:color="auto"/>
            <w:bottom w:val="none" w:sz="0" w:space="0" w:color="auto"/>
            <w:right w:val="none" w:sz="0" w:space="0" w:color="auto"/>
          </w:divBdr>
        </w:div>
        <w:div w:id="1383560028">
          <w:marLeft w:val="0"/>
          <w:marRight w:val="0"/>
          <w:marTop w:val="0"/>
          <w:marBottom w:val="0"/>
          <w:divBdr>
            <w:top w:val="none" w:sz="0" w:space="0" w:color="auto"/>
            <w:left w:val="none" w:sz="0" w:space="0" w:color="auto"/>
            <w:bottom w:val="none" w:sz="0" w:space="0" w:color="auto"/>
            <w:right w:val="none" w:sz="0" w:space="0" w:color="auto"/>
          </w:divBdr>
        </w:div>
        <w:div w:id="768164762">
          <w:marLeft w:val="0"/>
          <w:marRight w:val="0"/>
          <w:marTop w:val="0"/>
          <w:marBottom w:val="0"/>
          <w:divBdr>
            <w:top w:val="none" w:sz="0" w:space="0" w:color="auto"/>
            <w:left w:val="none" w:sz="0" w:space="0" w:color="auto"/>
            <w:bottom w:val="none" w:sz="0" w:space="0" w:color="auto"/>
            <w:right w:val="none" w:sz="0" w:space="0" w:color="auto"/>
          </w:divBdr>
        </w:div>
      </w:divsChild>
    </w:div>
    <w:div w:id="437409496">
      <w:bodyDiv w:val="1"/>
      <w:marLeft w:val="0"/>
      <w:marRight w:val="0"/>
      <w:marTop w:val="0"/>
      <w:marBottom w:val="0"/>
      <w:divBdr>
        <w:top w:val="none" w:sz="0" w:space="0" w:color="auto"/>
        <w:left w:val="none" w:sz="0" w:space="0" w:color="auto"/>
        <w:bottom w:val="none" w:sz="0" w:space="0" w:color="auto"/>
        <w:right w:val="none" w:sz="0" w:space="0" w:color="auto"/>
      </w:divBdr>
      <w:divsChild>
        <w:div w:id="868300957">
          <w:marLeft w:val="0"/>
          <w:marRight w:val="0"/>
          <w:marTop w:val="0"/>
          <w:marBottom w:val="0"/>
          <w:divBdr>
            <w:top w:val="none" w:sz="0" w:space="0" w:color="auto"/>
            <w:left w:val="none" w:sz="0" w:space="0" w:color="auto"/>
            <w:bottom w:val="none" w:sz="0" w:space="0" w:color="auto"/>
            <w:right w:val="none" w:sz="0" w:space="0" w:color="auto"/>
          </w:divBdr>
        </w:div>
        <w:div w:id="1914898928">
          <w:marLeft w:val="0"/>
          <w:marRight w:val="0"/>
          <w:marTop w:val="0"/>
          <w:marBottom w:val="0"/>
          <w:divBdr>
            <w:top w:val="none" w:sz="0" w:space="0" w:color="auto"/>
            <w:left w:val="none" w:sz="0" w:space="0" w:color="auto"/>
            <w:bottom w:val="none" w:sz="0" w:space="0" w:color="auto"/>
            <w:right w:val="none" w:sz="0" w:space="0" w:color="auto"/>
          </w:divBdr>
        </w:div>
        <w:div w:id="1290628328">
          <w:marLeft w:val="0"/>
          <w:marRight w:val="0"/>
          <w:marTop w:val="0"/>
          <w:marBottom w:val="0"/>
          <w:divBdr>
            <w:top w:val="none" w:sz="0" w:space="0" w:color="auto"/>
            <w:left w:val="none" w:sz="0" w:space="0" w:color="auto"/>
            <w:bottom w:val="none" w:sz="0" w:space="0" w:color="auto"/>
            <w:right w:val="none" w:sz="0" w:space="0" w:color="auto"/>
          </w:divBdr>
        </w:div>
        <w:div w:id="781462191">
          <w:marLeft w:val="0"/>
          <w:marRight w:val="0"/>
          <w:marTop w:val="0"/>
          <w:marBottom w:val="0"/>
          <w:divBdr>
            <w:top w:val="none" w:sz="0" w:space="0" w:color="auto"/>
            <w:left w:val="none" w:sz="0" w:space="0" w:color="auto"/>
            <w:bottom w:val="none" w:sz="0" w:space="0" w:color="auto"/>
            <w:right w:val="none" w:sz="0" w:space="0" w:color="auto"/>
          </w:divBdr>
        </w:div>
        <w:div w:id="322049751">
          <w:marLeft w:val="0"/>
          <w:marRight w:val="0"/>
          <w:marTop w:val="0"/>
          <w:marBottom w:val="0"/>
          <w:divBdr>
            <w:top w:val="none" w:sz="0" w:space="0" w:color="auto"/>
            <w:left w:val="none" w:sz="0" w:space="0" w:color="auto"/>
            <w:bottom w:val="none" w:sz="0" w:space="0" w:color="auto"/>
            <w:right w:val="none" w:sz="0" w:space="0" w:color="auto"/>
          </w:divBdr>
        </w:div>
        <w:div w:id="971447239">
          <w:marLeft w:val="0"/>
          <w:marRight w:val="0"/>
          <w:marTop w:val="0"/>
          <w:marBottom w:val="0"/>
          <w:divBdr>
            <w:top w:val="none" w:sz="0" w:space="0" w:color="auto"/>
            <w:left w:val="none" w:sz="0" w:space="0" w:color="auto"/>
            <w:bottom w:val="none" w:sz="0" w:space="0" w:color="auto"/>
            <w:right w:val="none" w:sz="0" w:space="0" w:color="auto"/>
          </w:divBdr>
        </w:div>
        <w:div w:id="707994965">
          <w:marLeft w:val="0"/>
          <w:marRight w:val="0"/>
          <w:marTop w:val="0"/>
          <w:marBottom w:val="0"/>
          <w:divBdr>
            <w:top w:val="none" w:sz="0" w:space="0" w:color="auto"/>
            <w:left w:val="none" w:sz="0" w:space="0" w:color="auto"/>
            <w:bottom w:val="none" w:sz="0" w:space="0" w:color="auto"/>
            <w:right w:val="none" w:sz="0" w:space="0" w:color="auto"/>
          </w:divBdr>
        </w:div>
        <w:div w:id="1305549328">
          <w:marLeft w:val="0"/>
          <w:marRight w:val="0"/>
          <w:marTop w:val="0"/>
          <w:marBottom w:val="0"/>
          <w:divBdr>
            <w:top w:val="none" w:sz="0" w:space="0" w:color="auto"/>
            <w:left w:val="none" w:sz="0" w:space="0" w:color="auto"/>
            <w:bottom w:val="none" w:sz="0" w:space="0" w:color="auto"/>
            <w:right w:val="none" w:sz="0" w:space="0" w:color="auto"/>
          </w:divBdr>
        </w:div>
        <w:div w:id="1717467358">
          <w:marLeft w:val="0"/>
          <w:marRight w:val="0"/>
          <w:marTop w:val="0"/>
          <w:marBottom w:val="0"/>
          <w:divBdr>
            <w:top w:val="none" w:sz="0" w:space="0" w:color="auto"/>
            <w:left w:val="none" w:sz="0" w:space="0" w:color="auto"/>
            <w:bottom w:val="none" w:sz="0" w:space="0" w:color="auto"/>
            <w:right w:val="none" w:sz="0" w:space="0" w:color="auto"/>
          </w:divBdr>
        </w:div>
        <w:div w:id="409234697">
          <w:marLeft w:val="0"/>
          <w:marRight w:val="0"/>
          <w:marTop w:val="0"/>
          <w:marBottom w:val="0"/>
          <w:divBdr>
            <w:top w:val="none" w:sz="0" w:space="0" w:color="auto"/>
            <w:left w:val="none" w:sz="0" w:space="0" w:color="auto"/>
            <w:bottom w:val="none" w:sz="0" w:space="0" w:color="auto"/>
            <w:right w:val="none" w:sz="0" w:space="0" w:color="auto"/>
          </w:divBdr>
        </w:div>
        <w:div w:id="576984122">
          <w:marLeft w:val="0"/>
          <w:marRight w:val="0"/>
          <w:marTop w:val="0"/>
          <w:marBottom w:val="0"/>
          <w:divBdr>
            <w:top w:val="none" w:sz="0" w:space="0" w:color="auto"/>
            <w:left w:val="none" w:sz="0" w:space="0" w:color="auto"/>
            <w:bottom w:val="none" w:sz="0" w:space="0" w:color="auto"/>
            <w:right w:val="none" w:sz="0" w:space="0" w:color="auto"/>
          </w:divBdr>
        </w:div>
        <w:div w:id="46489296">
          <w:marLeft w:val="0"/>
          <w:marRight w:val="0"/>
          <w:marTop w:val="0"/>
          <w:marBottom w:val="0"/>
          <w:divBdr>
            <w:top w:val="none" w:sz="0" w:space="0" w:color="auto"/>
            <w:left w:val="none" w:sz="0" w:space="0" w:color="auto"/>
            <w:bottom w:val="none" w:sz="0" w:space="0" w:color="auto"/>
            <w:right w:val="none" w:sz="0" w:space="0" w:color="auto"/>
          </w:divBdr>
        </w:div>
        <w:div w:id="1822886280">
          <w:marLeft w:val="0"/>
          <w:marRight w:val="0"/>
          <w:marTop w:val="0"/>
          <w:marBottom w:val="0"/>
          <w:divBdr>
            <w:top w:val="none" w:sz="0" w:space="0" w:color="auto"/>
            <w:left w:val="none" w:sz="0" w:space="0" w:color="auto"/>
            <w:bottom w:val="none" w:sz="0" w:space="0" w:color="auto"/>
            <w:right w:val="none" w:sz="0" w:space="0" w:color="auto"/>
          </w:divBdr>
        </w:div>
        <w:div w:id="677731547">
          <w:marLeft w:val="0"/>
          <w:marRight w:val="0"/>
          <w:marTop w:val="0"/>
          <w:marBottom w:val="0"/>
          <w:divBdr>
            <w:top w:val="none" w:sz="0" w:space="0" w:color="auto"/>
            <w:left w:val="none" w:sz="0" w:space="0" w:color="auto"/>
            <w:bottom w:val="none" w:sz="0" w:space="0" w:color="auto"/>
            <w:right w:val="none" w:sz="0" w:space="0" w:color="auto"/>
          </w:divBdr>
        </w:div>
        <w:div w:id="1524512017">
          <w:marLeft w:val="0"/>
          <w:marRight w:val="0"/>
          <w:marTop w:val="0"/>
          <w:marBottom w:val="0"/>
          <w:divBdr>
            <w:top w:val="none" w:sz="0" w:space="0" w:color="auto"/>
            <w:left w:val="none" w:sz="0" w:space="0" w:color="auto"/>
            <w:bottom w:val="none" w:sz="0" w:space="0" w:color="auto"/>
            <w:right w:val="none" w:sz="0" w:space="0" w:color="auto"/>
          </w:divBdr>
        </w:div>
        <w:div w:id="1521042527">
          <w:marLeft w:val="0"/>
          <w:marRight w:val="0"/>
          <w:marTop w:val="0"/>
          <w:marBottom w:val="0"/>
          <w:divBdr>
            <w:top w:val="none" w:sz="0" w:space="0" w:color="auto"/>
            <w:left w:val="none" w:sz="0" w:space="0" w:color="auto"/>
            <w:bottom w:val="none" w:sz="0" w:space="0" w:color="auto"/>
            <w:right w:val="none" w:sz="0" w:space="0" w:color="auto"/>
          </w:divBdr>
        </w:div>
      </w:divsChild>
    </w:div>
    <w:div w:id="1210267355">
      <w:bodyDiv w:val="1"/>
      <w:marLeft w:val="0"/>
      <w:marRight w:val="0"/>
      <w:marTop w:val="0"/>
      <w:marBottom w:val="0"/>
      <w:divBdr>
        <w:top w:val="none" w:sz="0" w:space="0" w:color="auto"/>
        <w:left w:val="none" w:sz="0" w:space="0" w:color="auto"/>
        <w:bottom w:val="none" w:sz="0" w:space="0" w:color="auto"/>
        <w:right w:val="none" w:sz="0" w:space="0" w:color="auto"/>
      </w:divBdr>
      <w:divsChild>
        <w:div w:id="588008702">
          <w:marLeft w:val="0"/>
          <w:marRight w:val="0"/>
          <w:marTop w:val="0"/>
          <w:marBottom w:val="0"/>
          <w:divBdr>
            <w:top w:val="none" w:sz="0" w:space="0" w:color="auto"/>
            <w:left w:val="none" w:sz="0" w:space="0" w:color="auto"/>
            <w:bottom w:val="none" w:sz="0" w:space="0" w:color="auto"/>
            <w:right w:val="none" w:sz="0" w:space="0" w:color="auto"/>
          </w:divBdr>
        </w:div>
        <w:div w:id="1384065837">
          <w:marLeft w:val="0"/>
          <w:marRight w:val="0"/>
          <w:marTop w:val="0"/>
          <w:marBottom w:val="0"/>
          <w:divBdr>
            <w:top w:val="none" w:sz="0" w:space="0" w:color="auto"/>
            <w:left w:val="none" w:sz="0" w:space="0" w:color="auto"/>
            <w:bottom w:val="none" w:sz="0" w:space="0" w:color="auto"/>
            <w:right w:val="none" w:sz="0" w:space="0" w:color="auto"/>
          </w:divBdr>
        </w:div>
        <w:div w:id="2085758276">
          <w:marLeft w:val="0"/>
          <w:marRight w:val="0"/>
          <w:marTop w:val="0"/>
          <w:marBottom w:val="0"/>
          <w:divBdr>
            <w:top w:val="none" w:sz="0" w:space="0" w:color="auto"/>
            <w:left w:val="none" w:sz="0" w:space="0" w:color="auto"/>
            <w:bottom w:val="none" w:sz="0" w:space="0" w:color="auto"/>
            <w:right w:val="none" w:sz="0" w:space="0" w:color="auto"/>
          </w:divBdr>
        </w:div>
        <w:div w:id="845440920">
          <w:marLeft w:val="0"/>
          <w:marRight w:val="0"/>
          <w:marTop w:val="0"/>
          <w:marBottom w:val="0"/>
          <w:divBdr>
            <w:top w:val="none" w:sz="0" w:space="0" w:color="auto"/>
            <w:left w:val="none" w:sz="0" w:space="0" w:color="auto"/>
            <w:bottom w:val="none" w:sz="0" w:space="0" w:color="auto"/>
            <w:right w:val="none" w:sz="0" w:space="0" w:color="auto"/>
          </w:divBdr>
        </w:div>
        <w:div w:id="1270042486">
          <w:marLeft w:val="0"/>
          <w:marRight w:val="0"/>
          <w:marTop w:val="0"/>
          <w:marBottom w:val="0"/>
          <w:divBdr>
            <w:top w:val="none" w:sz="0" w:space="0" w:color="auto"/>
            <w:left w:val="none" w:sz="0" w:space="0" w:color="auto"/>
            <w:bottom w:val="none" w:sz="0" w:space="0" w:color="auto"/>
            <w:right w:val="none" w:sz="0" w:space="0" w:color="auto"/>
          </w:divBdr>
        </w:div>
        <w:div w:id="1880820423">
          <w:marLeft w:val="0"/>
          <w:marRight w:val="0"/>
          <w:marTop w:val="0"/>
          <w:marBottom w:val="0"/>
          <w:divBdr>
            <w:top w:val="none" w:sz="0" w:space="0" w:color="auto"/>
            <w:left w:val="none" w:sz="0" w:space="0" w:color="auto"/>
            <w:bottom w:val="none" w:sz="0" w:space="0" w:color="auto"/>
            <w:right w:val="none" w:sz="0" w:space="0" w:color="auto"/>
          </w:divBdr>
        </w:div>
        <w:div w:id="284236379">
          <w:marLeft w:val="0"/>
          <w:marRight w:val="0"/>
          <w:marTop w:val="0"/>
          <w:marBottom w:val="0"/>
          <w:divBdr>
            <w:top w:val="none" w:sz="0" w:space="0" w:color="auto"/>
            <w:left w:val="none" w:sz="0" w:space="0" w:color="auto"/>
            <w:bottom w:val="none" w:sz="0" w:space="0" w:color="auto"/>
            <w:right w:val="none" w:sz="0" w:space="0" w:color="auto"/>
          </w:divBdr>
        </w:div>
        <w:div w:id="731196568">
          <w:marLeft w:val="0"/>
          <w:marRight w:val="0"/>
          <w:marTop w:val="0"/>
          <w:marBottom w:val="0"/>
          <w:divBdr>
            <w:top w:val="none" w:sz="0" w:space="0" w:color="auto"/>
            <w:left w:val="none" w:sz="0" w:space="0" w:color="auto"/>
            <w:bottom w:val="none" w:sz="0" w:space="0" w:color="auto"/>
            <w:right w:val="none" w:sz="0" w:space="0" w:color="auto"/>
          </w:divBdr>
        </w:div>
      </w:divsChild>
    </w:div>
    <w:div w:id="1590429551">
      <w:bodyDiv w:val="1"/>
      <w:marLeft w:val="0"/>
      <w:marRight w:val="0"/>
      <w:marTop w:val="0"/>
      <w:marBottom w:val="0"/>
      <w:divBdr>
        <w:top w:val="none" w:sz="0" w:space="0" w:color="auto"/>
        <w:left w:val="none" w:sz="0" w:space="0" w:color="auto"/>
        <w:bottom w:val="none" w:sz="0" w:space="0" w:color="auto"/>
        <w:right w:val="none" w:sz="0" w:space="0" w:color="auto"/>
      </w:divBdr>
      <w:divsChild>
        <w:div w:id="478501918">
          <w:marLeft w:val="0"/>
          <w:marRight w:val="0"/>
          <w:marTop w:val="0"/>
          <w:marBottom w:val="0"/>
          <w:divBdr>
            <w:top w:val="none" w:sz="0" w:space="0" w:color="auto"/>
            <w:left w:val="none" w:sz="0" w:space="0" w:color="auto"/>
            <w:bottom w:val="none" w:sz="0" w:space="0" w:color="auto"/>
            <w:right w:val="none" w:sz="0" w:space="0" w:color="auto"/>
          </w:divBdr>
        </w:div>
        <w:div w:id="2071880657">
          <w:marLeft w:val="0"/>
          <w:marRight w:val="0"/>
          <w:marTop w:val="0"/>
          <w:marBottom w:val="0"/>
          <w:divBdr>
            <w:top w:val="none" w:sz="0" w:space="0" w:color="auto"/>
            <w:left w:val="none" w:sz="0" w:space="0" w:color="auto"/>
            <w:bottom w:val="none" w:sz="0" w:space="0" w:color="auto"/>
            <w:right w:val="none" w:sz="0" w:space="0" w:color="auto"/>
          </w:divBdr>
        </w:div>
        <w:div w:id="1972128981">
          <w:marLeft w:val="0"/>
          <w:marRight w:val="0"/>
          <w:marTop w:val="0"/>
          <w:marBottom w:val="0"/>
          <w:divBdr>
            <w:top w:val="none" w:sz="0" w:space="0" w:color="auto"/>
            <w:left w:val="none" w:sz="0" w:space="0" w:color="auto"/>
            <w:bottom w:val="none" w:sz="0" w:space="0" w:color="auto"/>
            <w:right w:val="none" w:sz="0" w:space="0" w:color="auto"/>
          </w:divBdr>
        </w:div>
        <w:div w:id="680548080">
          <w:marLeft w:val="0"/>
          <w:marRight w:val="0"/>
          <w:marTop w:val="0"/>
          <w:marBottom w:val="0"/>
          <w:divBdr>
            <w:top w:val="none" w:sz="0" w:space="0" w:color="auto"/>
            <w:left w:val="none" w:sz="0" w:space="0" w:color="auto"/>
            <w:bottom w:val="none" w:sz="0" w:space="0" w:color="auto"/>
            <w:right w:val="none" w:sz="0" w:space="0" w:color="auto"/>
          </w:divBdr>
        </w:div>
      </w:divsChild>
    </w:div>
    <w:div w:id="1808744035">
      <w:bodyDiv w:val="1"/>
      <w:marLeft w:val="0"/>
      <w:marRight w:val="0"/>
      <w:marTop w:val="0"/>
      <w:marBottom w:val="0"/>
      <w:divBdr>
        <w:top w:val="none" w:sz="0" w:space="0" w:color="auto"/>
        <w:left w:val="none" w:sz="0" w:space="0" w:color="auto"/>
        <w:bottom w:val="none" w:sz="0" w:space="0" w:color="auto"/>
        <w:right w:val="none" w:sz="0" w:space="0" w:color="auto"/>
      </w:divBdr>
      <w:divsChild>
        <w:div w:id="148181401">
          <w:marLeft w:val="0"/>
          <w:marRight w:val="0"/>
          <w:marTop w:val="0"/>
          <w:marBottom w:val="0"/>
          <w:divBdr>
            <w:top w:val="none" w:sz="0" w:space="0" w:color="auto"/>
            <w:left w:val="none" w:sz="0" w:space="0" w:color="auto"/>
            <w:bottom w:val="none" w:sz="0" w:space="0" w:color="auto"/>
            <w:right w:val="none" w:sz="0" w:space="0" w:color="auto"/>
          </w:divBdr>
        </w:div>
        <w:div w:id="376397096">
          <w:marLeft w:val="0"/>
          <w:marRight w:val="0"/>
          <w:marTop w:val="0"/>
          <w:marBottom w:val="0"/>
          <w:divBdr>
            <w:top w:val="none" w:sz="0" w:space="0" w:color="auto"/>
            <w:left w:val="none" w:sz="0" w:space="0" w:color="auto"/>
            <w:bottom w:val="none" w:sz="0" w:space="0" w:color="auto"/>
            <w:right w:val="none" w:sz="0" w:space="0" w:color="auto"/>
          </w:divBdr>
        </w:div>
        <w:div w:id="1809978139">
          <w:marLeft w:val="0"/>
          <w:marRight w:val="0"/>
          <w:marTop w:val="0"/>
          <w:marBottom w:val="0"/>
          <w:divBdr>
            <w:top w:val="none" w:sz="0" w:space="0" w:color="auto"/>
            <w:left w:val="none" w:sz="0" w:space="0" w:color="auto"/>
            <w:bottom w:val="none" w:sz="0" w:space="0" w:color="auto"/>
            <w:right w:val="none" w:sz="0" w:space="0" w:color="auto"/>
          </w:divBdr>
        </w:div>
        <w:div w:id="65617125">
          <w:marLeft w:val="0"/>
          <w:marRight w:val="0"/>
          <w:marTop w:val="0"/>
          <w:marBottom w:val="0"/>
          <w:divBdr>
            <w:top w:val="none" w:sz="0" w:space="0" w:color="auto"/>
            <w:left w:val="none" w:sz="0" w:space="0" w:color="auto"/>
            <w:bottom w:val="none" w:sz="0" w:space="0" w:color="auto"/>
            <w:right w:val="none" w:sz="0" w:space="0" w:color="auto"/>
          </w:divBdr>
        </w:div>
        <w:div w:id="1120033962">
          <w:marLeft w:val="0"/>
          <w:marRight w:val="0"/>
          <w:marTop w:val="0"/>
          <w:marBottom w:val="0"/>
          <w:divBdr>
            <w:top w:val="none" w:sz="0" w:space="0" w:color="auto"/>
            <w:left w:val="none" w:sz="0" w:space="0" w:color="auto"/>
            <w:bottom w:val="none" w:sz="0" w:space="0" w:color="auto"/>
            <w:right w:val="none" w:sz="0" w:space="0" w:color="auto"/>
          </w:divBdr>
        </w:div>
        <w:div w:id="395082373">
          <w:marLeft w:val="0"/>
          <w:marRight w:val="0"/>
          <w:marTop w:val="0"/>
          <w:marBottom w:val="0"/>
          <w:divBdr>
            <w:top w:val="none" w:sz="0" w:space="0" w:color="auto"/>
            <w:left w:val="none" w:sz="0" w:space="0" w:color="auto"/>
            <w:bottom w:val="none" w:sz="0" w:space="0" w:color="auto"/>
            <w:right w:val="none" w:sz="0" w:space="0" w:color="auto"/>
          </w:divBdr>
        </w:div>
        <w:div w:id="1958682018">
          <w:marLeft w:val="0"/>
          <w:marRight w:val="0"/>
          <w:marTop w:val="0"/>
          <w:marBottom w:val="0"/>
          <w:divBdr>
            <w:top w:val="none" w:sz="0" w:space="0" w:color="auto"/>
            <w:left w:val="none" w:sz="0" w:space="0" w:color="auto"/>
            <w:bottom w:val="none" w:sz="0" w:space="0" w:color="auto"/>
            <w:right w:val="none" w:sz="0" w:space="0" w:color="auto"/>
          </w:divBdr>
        </w:div>
        <w:div w:id="1940411592">
          <w:marLeft w:val="0"/>
          <w:marRight w:val="0"/>
          <w:marTop w:val="0"/>
          <w:marBottom w:val="0"/>
          <w:divBdr>
            <w:top w:val="none" w:sz="0" w:space="0" w:color="auto"/>
            <w:left w:val="none" w:sz="0" w:space="0" w:color="auto"/>
            <w:bottom w:val="none" w:sz="0" w:space="0" w:color="auto"/>
            <w:right w:val="none" w:sz="0" w:space="0" w:color="auto"/>
          </w:divBdr>
        </w:div>
        <w:div w:id="250704629">
          <w:marLeft w:val="0"/>
          <w:marRight w:val="0"/>
          <w:marTop w:val="0"/>
          <w:marBottom w:val="0"/>
          <w:divBdr>
            <w:top w:val="none" w:sz="0" w:space="0" w:color="auto"/>
            <w:left w:val="none" w:sz="0" w:space="0" w:color="auto"/>
            <w:bottom w:val="none" w:sz="0" w:space="0" w:color="auto"/>
            <w:right w:val="none" w:sz="0" w:space="0" w:color="auto"/>
          </w:divBdr>
        </w:div>
        <w:div w:id="1078750468">
          <w:marLeft w:val="0"/>
          <w:marRight w:val="0"/>
          <w:marTop w:val="0"/>
          <w:marBottom w:val="0"/>
          <w:divBdr>
            <w:top w:val="none" w:sz="0" w:space="0" w:color="auto"/>
            <w:left w:val="none" w:sz="0" w:space="0" w:color="auto"/>
            <w:bottom w:val="none" w:sz="0" w:space="0" w:color="auto"/>
            <w:right w:val="none" w:sz="0" w:space="0" w:color="auto"/>
          </w:divBdr>
        </w:div>
        <w:div w:id="1845121490">
          <w:marLeft w:val="0"/>
          <w:marRight w:val="0"/>
          <w:marTop w:val="0"/>
          <w:marBottom w:val="0"/>
          <w:divBdr>
            <w:top w:val="none" w:sz="0" w:space="0" w:color="auto"/>
            <w:left w:val="none" w:sz="0" w:space="0" w:color="auto"/>
            <w:bottom w:val="none" w:sz="0" w:space="0" w:color="auto"/>
            <w:right w:val="none" w:sz="0" w:space="0" w:color="auto"/>
          </w:divBdr>
        </w:div>
        <w:div w:id="350883403">
          <w:marLeft w:val="0"/>
          <w:marRight w:val="0"/>
          <w:marTop w:val="0"/>
          <w:marBottom w:val="0"/>
          <w:divBdr>
            <w:top w:val="none" w:sz="0" w:space="0" w:color="auto"/>
            <w:left w:val="none" w:sz="0" w:space="0" w:color="auto"/>
            <w:bottom w:val="none" w:sz="0" w:space="0" w:color="auto"/>
            <w:right w:val="none" w:sz="0" w:space="0" w:color="auto"/>
          </w:divBdr>
        </w:div>
      </w:divsChild>
    </w:div>
    <w:div w:id="2103840321">
      <w:bodyDiv w:val="1"/>
      <w:marLeft w:val="0"/>
      <w:marRight w:val="0"/>
      <w:marTop w:val="0"/>
      <w:marBottom w:val="0"/>
      <w:divBdr>
        <w:top w:val="none" w:sz="0" w:space="0" w:color="auto"/>
        <w:left w:val="none" w:sz="0" w:space="0" w:color="auto"/>
        <w:bottom w:val="none" w:sz="0" w:space="0" w:color="auto"/>
        <w:right w:val="none" w:sz="0" w:space="0" w:color="auto"/>
      </w:divBdr>
      <w:divsChild>
        <w:div w:id="1857768843">
          <w:marLeft w:val="0"/>
          <w:marRight w:val="0"/>
          <w:marTop w:val="0"/>
          <w:marBottom w:val="0"/>
          <w:divBdr>
            <w:top w:val="none" w:sz="0" w:space="0" w:color="auto"/>
            <w:left w:val="none" w:sz="0" w:space="0" w:color="auto"/>
            <w:bottom w:val="none" w:sz="0" w:space="0" w:color="auto"/>
            <w:right w:val="none" w:sz="0" w:space="0" w:color="auto"/>
          </w:divBdr>
          <w:divsChild>
            <w:div w:id="494416718">
              <w:marLeft w:val="0"/>
              <w:marRight w:val="0"/>
              <w:marTop w:val="0"/>
              <w:marBottom w:val="0"/>
              <w:divBdr>
                <w:top w:val="none" w:sz="0" w:space="0" w:color="auto"/>
                <w:left w:val="none" w:sz="0" w:space="0" w:color="auto"/>
                <w:bottom w:val="none" w:sz="0" w:space="0" w:color="auto"/>
                <w:right w:val="none" w:sz="0" w:space="0" w:color="auto"/>
              </w:divBdr>
            </w:div>
            <w:div w:id="1507090180">
              <w:marLeft w:val="0"/>
              <w:marRight w:val="0"/>
              <w:marTop w:val="0"/>
              <w:marBottom w:val="0"/>
              <w:divBdr>
                <w:top w:val="none" w:sz="0" w:space="0" w:color="auto"/>
                <w:left w:val="none" w:sz="0" w:space="0" w:color="auto"/>
                <w:bottom w:val="none" w:sz="0" w:space="0" w:color="auto"/>
                <w:right w:val="none" w:sz="0" w:space="0" w:color="auto"/>
              </w:divBdr>
            </w:div>
            <w:div w:id="982344170">
              <w:marLeft w:val="0"/>
              <w:marRight w:val="0"/>
              <w:marTop w:val="0"/>
              <w:marBottom w:val="0"/>
              <w:divBdr>
                <w:top w:val="none" w:sz="0" w:space="0" w:color="auto"/>
                <w:left w:val="none" w:sz="0" w:space="0" w:color="auto"/>
                <w:bottom w:val="none" w:sz="0" w:space="0" w:color="auto"/>
                <w:right w:val="none" w:sz="0" w:space="0" w:color="auto"/>
              </w:divBdr>
            </w:div>
            <w:div w:id="2134400585">
              <w:marLeft w:val="0"/>
              <w:marRight w:val="0"/>
              <w:marTop w:val="0"/>
              <w:marBottom w:val="0"/>
              <w:divBdr>
                <w:top w:val="none" w:sz="0" w:space="0" w:color="auto"/>
                <w:left w:val="none" w:sz="0" w:space="0" w:color="auto"/>
                <w:bottom w:val="none" w:sz="0" w:space="0" w:color="auto"/>
                <w:right w:val="none" w:sz="0" w:space="0" w:color="auto"/>
              </w:divBdr>
            </w:div>
            <w:div w:id="974413065">
              <w:marLeft w:val="0"/>
              <w:marRight w:val="0"/>
              <w:marTop w:val="0"/>
              <w:marBottom w:val="0"/>
              <w:divBdr>
                <w:top w:val="none" w:sz="0" w:space="0" w:color="auto"/>
                <w:left w:val="none" w:sz="0" w:space="0" w:color="auto"/>
                <w:bottom w:val="none" w:sz="0" w:space="0" w:color="auto"/>
                <w:right w:val="none" w:sz="0" w:space="0" w:color="auto"/>
              </w:divBdr>
            </w:div>
            <w:div w:id="1481264352">
              <w:marLeft w:val="0"/>
              <w:marRight w:val="0"/>
              <w:marTop w:val="0"/>
              <w:marBottom w:val="0"/>
              <w:divBdr>
                <w:top w:val="none" w:sz="0" w:space="0" w:color="auto"/>
                <w:left w:val="none" w:sz="0" w:space="0" w:color="auto"/>
                <w:bottom w:val="none" w:sz="0" w:space="0" w:color="auto"/>
                <w:right w:val="none" w:sz="0" w:space="0" w:color="auto"/>
              </w:divBdr>
            </w:div>
            <w:div w:id="1227380048">
              <w:marLeft w:val="0"/>
              <w:marRight w:val="0"/>
              <w:marTop w:val="0"/>
              <w:marBottom w:val="0"/>
              <w:divBdr>
                <w:top w:val="none" w:sz="0" w:space="0" w:color="auto"/>
                <w:left w:val="none" w:sz="0" w:space="0" w:color="auto"/>
                <w:bottom w:val="none" w:sz="0" w:space="0" w:color="auto"/>
                <w:right w:val="none" w:sz="0" w:space="0" w:color="auto"/>
              </w:divBdr>
            </w:div>
            <w:div w:id="135030828">
              <w:marLeft w:val="0"/>
              <w:marRight w:val="0"/>
              <w:marTop w:val="0"/>
              <w:marBottom w:val="0"/>
              <w:divBdr>
                <w:top w:val="none" w:sz="0" w:space="0" w:color="auto"/>
                <w:left w:val="none" w:sz="0" w:space="0" w:color="auto"/>
                <w:bottom w:val="none" w:sz="0" w:space="0" w:color="auto"/>
                <w:right w:val="none" w:sz="0" w:space="0" w:color="auto"/>
              </w:divBdr>
            </w:div>
            <w:div w:id="411391872">
              <w:marLeft w:val="0"/>
              <w:marRight w:val="0"/>
              <w:marTop w:val="0"/>
              <w:marBottom w:val="0"/>
              <w:divBdr>
                <w:top w:val="none" w:sz="0" w:space="0" w:color="auto"/>
                <w:left w:val="none" w:sz="0" w:space="0" w:color="auto"/>
                <w:bottom w:val="none" w:sz="0" w:space="0" w:color="auto"/>
                <w:right w:val="none" w:sz="0" w:space="0" w:color="auto"/>
              </w:divBdr>
            </w:div>
            <w:div w:id="1882789852">
              <w:marLeft w:val="0"/>
              <w:marRight w:val="0"/>
              <w:marTop w:val="0"/>
              <w:marBottom w:val="0"/>
              <w:divBdr>
                <w:top w:val="none" w:sz="0" w:space="0" w:color="auto"/>
                <w:left w:val="none" w:sz="0" w:space="0" w:color="auto"/>
                <w:bottom w:val="none" w:sz="0" w:space="0" w:color="auto"/>
                <w:right w:val="none" w:sz="0" w:space="0" w:color="auto"/>
              </w:divBdr>
            </w:div>
            <w:div w:id="1597203343">
              <w:marLeft w:val="0"/>
              <w:marRight w:val="0"/>
              <w:marTop w:val="0"/>
              <w:marBottom w:val="0"/>
              <w:divBdr>
                <w:top w:val="none" w:sz="0" w:space="0" w:color="auto"/>
                <w:left w:val="none" w:sz="0" w:space="0" w:color="auto"/>
                <w:bottom w:val="none" w:sz="0" w:space="0" w:color="auto"/>
                <w:right w:val="none" w:sz="0" w:space="0" w:color="auto"/>
              </w:divBdr>
            </w:div>
            <w:div w:id="2046565793">
              <w:marLeft w:val="0"/>
              <w:marRight w:val="0"/>
              <w:marTop w:val="0"/>
              <w:marBottom w:val="0"/>
              <w:divBdr>
                <w:top w:val="none" w:sz="0" w:space="0" w:color="auto"/>
                <w:left w:val="none" w:sz="0" w:space="0" w:color="auto"/>
                <w:bottom w:val="none" w:sz="0" w:space="0" w:color="auto"/>
                <w:right w:val="none" w:sz="0" w:space="0" w:color="auto"/>
              </w:divBdr>
            </w:div>
            <w:div w:id="1191645637">
              <w:marLeft w:val="0"/>
              <w:marRight w:val="0"/>
              <w:marTop w:val="0"/>
              <w:marBottom w:val="0"/>
              <w:divBdr>
                <w:top w:val="none" w:sz="0" w:space="0" w:color="auto"/>
                <w:left w:val="none" w:sz="0" w:space="0" w:color="auto"/>
                <w:bottom w:val="none" w:sz="0" w:space="0" w:color="auto"/>
                <w:right w:val="none" w:sz="0" w:space="0" w:color="auto"/>
              </w:divBdr>
            </w:div>
            <w:div w:id="820346185">
              <w:marLeft w:val="0"/>
              <w:marRight w:val="0"/>
              <w:marTop w:val="0"/>
              <w:marBottom w:val="0"/>
              <w:divBdr>
                <w:top w:val="none" w:sz="0" w:space="0" w:color="auto"/>
                <w:left w:val="none" w:sz="0" w:space="0" w:color="auto"/>
                <w:bottom w:val="none" w:sz="0" w:space="0" w:color="auto"/>
                <w:right w:val="none" w:sz="0" w:space="0" w:color="auto"/>
              </w:divBdr>
            </w:div>
            <w:div w:id="207105948">
              <w:marLeft w:val="0"/>
              <w:marRight w:val="0"/>
              <w:marTop w:val="0"/>
              <w:marBottom w:val="0"/>
              <w:divBdr>
                <w:top w:val="none" w:sz="0" w:space="0" w:color="auto"/>
                <w:left w:val="none" w:sz="0" w:space="0" w:color="auto"/>
                <w:bottom w:val="none" w:sz="0" w:space="0" w:color="auto"/>
                <w:right w:val="none" w:sz="0" w:space="0" w:color="auto"/>
              </w:divBdr>
            </w:div>
            <w:div w:id="1306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EC918945694D37B495A7470D3427AF"/>
        <w:category>
          <w:name w:val="General"/>
          <w:gallery w:val="placeholder"/>
        </w:category>
        <w:types>
          <w:type w:val="bbPlcHdr"/>
        </w:types>
        <w:behaviors>
          <w:behavior w:val="content"/>
        </w:behaviors>
        <w:guid w:val="{A5831924-DAC0-4E19-8EA9-5AA6CD3F6014}"/>
      </w:docPartPr>
      <w:docPartBody>
        <w:p w:rsidR="00467008" w:rsidRDefault="002C0FB7" w:rsidP="002C0FB7">
          <w:pPr>
            <w:pStyle w:val="04EC918945694D37B495A7470D3427AF"/>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C0FB7"/>
    <w:rsid w:val="002C0FB7"/>
    <w:rsid w:val="00467008"/>
    <w:rsid w:val="00581984"/>
    <w:rsid w:val="009E3053"/>
    <w:rsid w:val="00AB5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EC918945694D37B495A7470D3427AF">
    <w:name w:val="04EC918945694D37B495A7470D3427AF"/>
    <w:rsid w:val="002C0FB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Signal-Tech  DOT Series LED Blank-out Sign in IP66/NEMA 4X Cabinet                   January 2016</Company>
  <LinksUpToDate>false</LinksUpToDate>
  <CharactersWithSpaces>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deborahr</dc:creator>
  <cp:lastModifiedBy>deborahr</cp:lastModifiedBy>
  <cp:revision>3</cp:revision>
  <cp:lastPrinted>2014-07-16T20:14:00Z</cp:lastPrinted>
  <dcterms:created xsi:type="dcterms:W3CDTF">2016-05-02T12:34:00Z</dcterms:created>
  <dcterms:modified xsi:type="dcterms:W3CDTF">2016-05-02T12:42:00Z</dcterms:modified>
</cp:coreProperties>
</file>