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F55D5" w14:textId="77777777" w:rsidR="00665EBE" w:rsidRDefault="002766E2" w:rsidP="00665EB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</w:t>
      </w:r>
      <w:r w:rsidR="00665EBE" w:rsidRPr="00B778DE">
        <w:rPr>
          <w:rFonts w:ascii="Times New Roman" w:hAnsi="Times New Roman" w:cs="Times New Roman"/>
          <w:b/>
          <w:sz w:val="28"/>
          <w:szCs w:val="28"/>
        </w:rPr>
        <w:t xml:space="preserve"> Series </w:t>
      </w:r>
      <w:r>
        <w:rPr>
          <w:rFonts w:ascii="Times New Roman" w:hAnsi="Times New Roman" w:cs="Times New Roman"/>
          <w:b/>
          <w:sz w:val="28"/>
          <w:szCs w:val="28"/>
        </w:rPr>
        <w:t>Space Available Tower Signs</w:t>
      </w:r>
      <w:r w:rsidR="00305AF4" w:rsidRPr="00305A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5AF4">
        <w:rPr>
          <w:rFonts w:ascii="Times New Roman" w:hAnsi="Times New Roman" w:cs="Times New Roman"/>
          <w:b/>
          <w:sz w:val="28"/>
          <w:szCs w:val="28"/>
        </w:rPr>
        <w:t>with LED Count Displays</w:t>
      </w:r>
    </w:p>
    <w:p w14:paraId="13DC8600" w14:textId="77777777" w:rsidR="00E0227A" w:rsidRPr="003E6C28" w:rsidRDefault="002766E2" w:rsidP="00E0227A">
      <w:pPr>
        <w:pStyle w:val="NoSpacing"/>
        <w:rPr>
          <w:rFonts w:eastAsia="Times New Roman" w:cstheme="minorHAnsi"/>
        </w:rPr>
      </w:pPr>
      <w:r>
        <w:t>Space Available Signs are designed to connect with the count module of a parking count system and display the number of available parking spaces</w:t>
      </w:r>
      <w:r w:rsidR="00305AF4">
        <w:t xml:space="preserve"> on the LED 4-digit count displays</w:t>
      </w:r>
      <w:r>
        <w:t>. Each sign is custom designed and engineered to your specific requirements. Constructed with a rugged aluminum cabinet and hinged face(s) for easy installation. LED count displays are pre-wired. Available in single or double faced configurations. High-performance acrylic polyurethane enamel finish.</w:t>
      </w:r>
      <w:r w:rsidR="00E0227A" w:rsidRPr="00E0227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E6C28" w:rsidRPr="003E6C28">
        <w:rPr>
          <w:rFonts w:eastAsia="Times New Roman" w:cstheme="minorHAnsi"/>
        </w:rPr>
        <w:t>Metal sign face available with full color graphics and logo branding.</w:t>
      </w:r>
    </w:p>
    <w:p w14:paraId="0E0D7BA1" w14:textId="77777777" w:rsidR="00E36E4B" w:rsidRDefault="00E36E4B" w:rsidP="00E0227A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4C89DC" w14:textId="77777777" w:rsidR="00E0227A" w:rsidRPr="00500423" w:rsidRDefault="00E0227A" w:rsidP="00E0227A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0423">
        <w:rPr>
          <w:rFonts w:ascii="Times New Roman" w:eastAsia="Times New Roman" w:hAnsi="Times New Roman" w:cs="Times New Roman"/>
          <w:b/>
          <w:sz w:val="28"/>
          <w:szCs w:val="28"/>
        </w:rPr>
        <w:t>Technical Specifications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3699"/>
        <w:gridCol w:w="3699"/>
      </w:tblGrid>
      <w:tr w:rsidR="00665EBE" w14:paraId="60FE9514" w14:textId="77777777" w:rsidTr="005145EA">
        <w:tc>
          <w:tcPr>
            <w:tcW w:w="2178" w:type="dxa"/>
          </w:tcPr>
          <w:p w14:paraId="31518381" w14:textId="77777777" w:rsidR="00665EBE" w:rsidRDefault="00665EBE">
            <w:r>
              <w:t>Illumination</w:t>
            </w:r>
          </w:p>
        </w:tc>
        <w:tc>
          <w:tcPr>
            <w:tcW w:w="7398" w:type="dxa"/>
            <w:gridSpan w:val="2"/>
          </w:tcPr>
          <w:p w14:paraId="1F2EC9C0" w14:textId="77777777" w:rsidR="00665EBE" w:rsidRDefault="005145EA" w:rsidP="00022B0C">
            <w:r>
              <w:t>Super bright</w:t>
            </w:r>
            <w:r w:rsidR="00665EBE">
              <w:t>,</w:t>
            </w:r>
            <w:r>
              <w:t xml:space="preserve"> direct-view</w:t>
            </w:r>
            <w:r w:rsidR="00665EBE">
              <w:t xml:space="preserve"> LEDs</w:t>
            </w:r>
            <w:r w:rsidR="00022B0C">
              <w:t xml:space="preserve"> with built-in automatic dimming</w:t>
            </w:r>
          </w:p>
        </w:tc>
      </w:tr>
      <w:tr w:rsidR="00665EBE" w14:paraId="4C722468" w14:textId="77777777" w:rsidTr="005145EA">
        <w:tc>
          <w:tcPr>
            <w:tcW w:w="2178" w:type="dxa"/>
          </w:tcPr>
          <w:p w14:paraId="21AA014D" w14:textId="77777777" w:rsidR="00665EBE" w:rsidRDefault="00665EBE" w:rsidP="00A61DC3">
            <w:r>
              <w:t xml:space="preserve">LED </w:t>
            </w:r>
            <w:r w:rsidR="00A61DC3">
              <w:t>Count Display</w:t>
            </w:r>
          </w:p>
        </w:tc>
        <w:tc>
          <w:tcPr>
            <w:tcW w:w="7398" w:type="dxa"/>
            <w:gridSpan w:val="2"/>
          </w:tcPr>
          <w:p w14:paraId="1200A311" w14:textId="77777777" w:rsidR="00A177E6" w:rsidRDefault="00A177E6" w:rsidP="00A177E6">
            <w:r>
              <w:t xml:space="preserve">4-digit, seven-segment display Capable of displaying up to four numeric values as well as OPEN, FULL, and </w:t>
            </w:r>
            <w:proofErr w:type="spellStart"/>
            <w:r>
              <w:t>CLSd</w:t>
            </w:r>
            <w:proofErr w:type="spellEnd"/>
            <w:r>
              <w:t xml:space="preserve"> (Closed).</w:t>
            </w:r>
          </w:p>
          <w:p w14:paraId="3D7C9094" w14:textId="77777777" w:rsidR="00022B0C" w:rsidRDefault="00A177E6" w:rsidP="00A177E6">
            <w:r>
              <w:t>Available in any two monochromatic combinations of green, red, blue, amber or white LEDs</w:t>
            </w:r>
          </w:p>
          <w:p w14:paraId="6EC34997" w14:textId="77777777" w:rsidR="00022B0C" w:rsidRDefault="00022B0C" w:rsidP="00A61DC3">
            <w:r>
              <w:t>Available in two standard sizes:</w:t>
            </w:r>
          </w:p>
          <w:p w14:paraId="54EB1F2A" w14:textId="77777777" w:rsidR="00022B0C" w:rsidRDefault="00022B0C" w:rsidP="00022B0C">
            <w:pPr>
              <w:pStyle w:val="ListParagraph"/>
              <w:numPr>
                <w:ilvl w:val="0"/>
                <w:numId w:val="1"/>
              </w:numPr>
            </w:pPr>
            <w:r>
              <w:t>Visual opening of 6-1/8”h x 17-1/8”w, with 4 ½ “ high characters</w:t>
            </w:r>
          </w:p>
          <w:p w14:paraId="5B176B18" w14:textId="77777777" w:rsidR="00022B0C" w:rsidRDefault="001363F3" w:rsidP="00022B0C">
            <w:pPr>
              <w:pStyle w:val="ListParagraph"/>
              <w:numPr>
                <w:ilvl w:val="0"/>
                <w:numId w:val="1"/>
              </w:numPr>
            </w:pPr>
            <w:r>
              <w:t>Visual opening of 8</w:t>
            </w:r>
            <w:r w:rsidR="00022B0C">
              <w:t>-1/8”h x 25-1/8”w, with 7 ½” or 6” high characters</w:t>
            </w:r>
          </w:p>
          <w:p w14:paraId="2C745395" w14:textId="77777777" w:rsidR="00022B0C" w:rsidRDefault="00022B0C" w:rsidP="00022B0C">
            <w:pPr>
              <w:pStyle w:val="ListParagraph"/>
              <w:numPr>
                <w:ilvl w:val="0"/>
                <w:numId w:val="1"/>
              </w:numPr>
            </w:pPr>
            <w:r>
              <w:t xml:space="preserve">Custom sizes available </w:t>
            </w:r>
          </w:p>
          <w:p w14:paraId="05B74922" w14:textId="77777777" w:rsidR="0064250A" w:rsidRDefault="0064250A" w:rsidP="00A61DC3">
            <w:r>
              <w:t>Displays are pre-wired with drip loop construction</w:t>
            </w:r>
          </w:p>
          <w:p w14:paraId="637D5432" w14:textId="77777777" w:rsidR="00A61DC3" w:rsidRDefault="00A61DC3" w:rsidP="00A61DC3">
            <w:r>
              <w:t>UL/cUL Listed for wet locations</w:t>
            </w:r>
          </w:p>
          <w:p w14:paraId="5A1400DE" w14:textId="77777777" w:rsidR="00A61DC3" w:rsidRDefault="00A61DC3" w:rsidP="00A61DC3">
            <w:r>
              <w:t>120-277V</w:t>
            </w:r>
            <w:r w:rsidR="00CD5AA0">
              <w:t>AC</w:t>
            </w:r>
            <w:r>
              <w:t xml:space="preserve"> or 12-24VDC</w:t>
            </w:r>
          </w:p>
        </w:tc>
      </w:tr>
      <w:tr w:rsidR="005145EA" w14:paraId="64263801" w14:textId="77777777" w:rsidTr="005145EA">
        <w:tc>
          <w:tcPr>
            <w:tcW w:w="2178" w:type="dxa"/>
          </w:tcPr>
          <w:p w14:paraId="51EB88DD" w14:textId="77777777" w:rsidR="005145EA" w:rsidRDefault="00A61DC3" w:rsidP="00A61DC3">
            <w:r>
              <w:t>Cabinet Construction</w:t>
            </w:r>
          </w:p>
        </w:tc>
        <w:tc>
          <w:tcPr>
            <w:tcW w:w="7398" w:type="dxa"/>
            <w:gridSpan w:val="2"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62"/>
              <w:gridCol w:w="36"/>
            </w:tblGrid>
            <w:tr w:rsidR="00A61DC3" w:rsidRPr="00A61DC3" w14:paraId="4585F3E6" w14:textId="77777777" w:rsidTr="00A61DC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3EE7361" w14:textId="77777777" w:rsidR="00A61DC3" w:rsidRPr="00A61DC3" w:rsidRDefault="00A61DC3" w:rsidP="00A61DC3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Extruded aluminum frame with a routed aluminum face panel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CD3C0F" w14:textId="77777777" w:rsidR="00A61DC3" w:rsidRPr="00A61DC3" w:rsidRDefault="00A61DC3" w:rsidP="00A61DC3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</w:p>
              </w:tc>
            </w:tr>
          </w:tbl>
          <w:p w14:paraId="3EEAA07D" w14:textId="77777777" w:rsidR="005145EA" w:rsidRDefault="00A61DC3" w:rsidP="00A61DC3">
            <w:r>
              <w:t>Precision mitered corners with corner keys</w:t>
            </w:r>
          </w:p>
          <w:p w14:paraId="4A1B9E65" w14:textId="77777777" w:rsidR="00A61DC3" w:rsidRDefault="00A61DC3" w:rsidP="00A61DC3">
            <w:r>
              <w:t>Interior surfaces coated with moisture absorbing material</w:t>
            </w:r>
          </w:p>
          <w:p w14:paraId="2098715E" w14:textId="77777777" w:rsidR="00A61DC3" w:rsidRDefault="00A61DC3" w:rsidP="00A61DC3">
            <w:r>
              <w:t>Hinged face for interior cabinet access</w:t>
            </w:r>
          </w:p>
          <w:p w14:paraId="1341F37A" w14:textId="12001627" w:rsidR="00177266" w:rsidRDefault="00A61DC3" w:rsidP="00A61DC3">
            <w:r>
              <w:t>Available in single or double face configurations</w:t>
            </w:r>
          </w:p>
        </w:tc>
      </w:tr>
      <w:tr w:rsidR="00177266" w14:paraId="77D394BD" w14:textId="77777777" w:rsidTr="005145EA">
        <w:tc>
          <w:tcPr>
            <w:tcW w:w="2178" w:type="dxa"/>
          </w:tcPr>
          <w:p w14:paraId="7373A290" w14:textId="724AB72C" w:rsidR="00177266" w:rsidRDefault="00177266" w:rsidP="00177266">
            <w:r>
              <w:t>IP/NEMA Rating</w:t>
            </w:r>
          </w:p>
        </w:tc>
        <w:tc>
          <w:tcPr>
            <w:tcW w:w="7398" w:type="dxa"/>
            <w:gridSpan w:val="2"/>
          </w:tcPr>
          <w:p w14:paraId="36305903" w14:textId="1BC6141E" w:rsidR="00177266" w:rsidRDefault="00177266" w:rsidP="00260292">
            <w:r>
              <w:t>IP55/NEMA 3R</w:t>
            </w:r>
            <w:bookmarkStart w:id="0" w:name="_GoBack"/>
            <w:bookmarkEnd w:id="0"/>
          </w:p>
        </w:tc>
      </w:tr>
      <w:tr w:rsidR="005145EA" w14:paraId="6D77C61C" w14:textId="77777777" w:rsidTr="005145EA">
        <w:tc>
          <w:tcPr>
            <w:tcW w:w="2178" w:type="dxa"/>
          </w:tcPr>
          <w:p w14:paraId="293F7068" w14:textId="77777777" w:rsidR="005145EA" w:rsidRDefault="005145EA">
            <w:r>
              <w:t>Cabinet Depth</w:t>
            </w:r>
          </w:p>
        </w:tc>
        <w:tc>
          <w:tcPr>
            <w:tcW w:w="7398" w:type="dxa"/>
            <w:gridSpan w:val="2"/>
          </w:tcPr>
          <w:p w14:paraId="01C80ACB" w14:textId="77777777" w:rsidR="005145EA" w:rsidRDefault="005145EA" w:rsidP="00260292">
            <w:r>
              <w:t xml:space="preserve">Single Faced: </w:t>
            </w:r>
            <w:r w:rsidR="00020D68">
              <w:t>5½” deep with one hinged face</w:t>
            </w:r>
          </w:p>
          <w:p w14:paraId="7252CC62" w14:textId="77777777" w:rsidR="005145EA" w:rsidRDefault="005145EA" w:rsidP="00020D68">
            <w:r>
              <w:t xml:space="preserve">Double Faced: </w:t>
            </w:r>
            <w:r w:rsidR="00020D68">
              <w:t>7</w:t>
            </w:r>
            <w:r w:rsidR="00F832CC">
              <w:t xml:space="preserve">½” deep </w:t>
            </w:r>
            <w:r w:rsidR="00020D68">
              <w:t>with two hinged faces</w:t>
            </w:r>
          </w:p>
        </w:tc>
      </w:tr>
      <w:tr w:rsidR="00020D68" w14:paraId="77533384" w14:textId="77777777" w:rsidTr="005145EA">
        <w:tc>
          <w:tcPr>
            <w:tcW w:w="2178" w:type="dxa"/>
          </w:tcPr>
          <w:p w14:paraId="26F81057" w14:textId="77777777" w:rsidR="00020D68" w:rsidRDefault="00020D68" w:rsidP="006E4ED9">
            <w:r>
              <w:t>Cabinet Finish</w:t>
            </w:r>
          </w:p>
        </w:tc>
        <w:tc>
          <w:tcPr>
            <w:tcW w:w="7398" w:type="dxa"/>
            <w:gridSpan w:val="2"/>
          </w:tcPr>
          <w:p w14:paraId="1597B04D" w14:textId="77777777" w:rsidR="00020D68" w:rsidRPr="00260292" w:rsidRDefault="00020D68" w:rsidP="006E4ED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High performance acrylic polyurethane enamel finish. Standard color: Duranodic Bronze, semi-gloss. Custom colors and finishes available</w:t>
            </w:r>
          </w:p>
        </w:tc>
      </w:tr>
      <w:tr w:rsidR="00BC2FBB" w14:paraId="6D94B7D5" w14:textId="77777777" w:rsidTr="005145EA">
        <w:tc>
          <w:tcPr>
            <w:tcW w:w="2178" w:type="dxa"/>
          </w:tcPr>
          <w:p w14:paraId="4DEC3BF9" w14:textId="77777777" w:rsidR="00BC2FBB" w:rsidRDefault="00BC2FBB">
            <w:r>
              <w:t>Temperature and Humidity Ratings</w:t>
            </w:r>
          </w:p>
        </w:tc>
        <w:tc>
          <w:tcPr>
            <w:tcW w:w="7398" w:type="dxa"/>
            <w:gridSpan w:val="2"/>
          </w:tcPr>
          <w:p w14:paraId="7AC5A462" w14:textId="77777777" w:rsidR="00BC2FBB" w:rsidRPr="00BC2FBB" w:rsidRDefault="00BC2FBB" w:rsidP="00BC2FBB">
            <w:pPr>
              <w:pStyle w:val="NoSpacing"/>
            </w:pPr>
            <w:r w:rsidRPr="00BC2FBB">
              <w:t>The Cabinet and sign components shall operate in the following temperature and humidity conditions:</w:t>
            </w:r>
          </w:p>
          <w:p w14:paraId="0B403725" w14:textId="77777777" w:rsidR="00BC2FBB" w:rsidRPr="00BC2FBB" w:rsidRDefault="00BC2FBB" w:rsidP="00BC2FBB">
            <w:pPr>
              <w:pStyle w:val="NoSpacing"/>
              <w:numPr>
                <w:ilvl w:val="0"/>
                <w:numId w:val="3"/>
              </w:numPr>
            </w:pPr>
            <w:r w:rsidRPr="00BC2FBB">
              <w:t>Operational &amp; storage temperature range: -40°F to +165°F</w:t>
            </w:r>
          </w:p>
          <w:p w14:paraId="39903D84" w14:textId="77777777" w:rsidR="00BC2FBB" w:rsidRPr="00BC2FBB" w:rsidRDefault="00E3656D" w:rsidP="00BC2FBB">
            <w:pPr>
              <w:pStyle w:val="NoSpacing"/>
              <w:numPr>
                <w:ilvl w:val="0"/>
                <w:numId w:val="3"/>
              </w:numPr>
            </w:pPr>
            <w:r>
              <w:t>Humidity range: 0% to 95</w:t>
            </w:r>
            <w:r w:rsidR="00BC2FBB" w:rsidRPr="00BC2FBB">
              <w:t>% (non-condensing)</w:t>
            </w:r>
          </w:p>
        </w:tc>
      </w:tr>
      <w:tr w:rsidR="00020D68" w14:paraId="1F6C6637" w14:textId="77777777" w:rsidTr="005145EA">
        <w:tc>
          <w:tcPr>
            <w:tcW w:w="2178" w:type="dxa"/>
          </w:tcPr>
          <w:p w14:paraId="7D5D6022" w14:textId="77777777" w:rsidR="00020D68" w:rsidRDefault="0064250A">
            <w:r>
              <w:t>Graphics</w:t>
            </w:r>
          </w:p>
        </w:tc>
        <w:tc>
          <w:tcPr>
            <w:tcW w:w="7398" w:type="dxa"/>
            <w:gridSpan w:val="2"/>
          </w:tcPr>
          <w:p w14:paraId="023DFF00" w14:textId="77777777" w:rsidR="00020D68" w:rsidRDefault="0064250A" w:rsidP="00022B0C">
            <w:r>
              <w:t xml:space="preserve">Commercial grade </w:t>
            </w:r>
            <w:r w:rsidR="00022B0C">
              <w:t xml:space="preserve">reflective </w:t>
            </w:r>
            <w:r>
              <w:t xml:space="preserve">vinyl, </w:t>
            </w:r>
            <w:r w:rsidR="00022B0C">
              <w:t>full color printed graphics and logo branding, LED backlit full color graphics</w:t>
            </w:r>
          </w:p>
        </w:tc>
      </w:tr>
      <w:tr w:rsidR="00020D68" w14:paraId="4D747EDC" w14:textId="77777777" w:rsidTr="005145EA">
        <w:tc>
          <w:tcPr>
            <w:tcW w:w="2178" w:type="dxa"/>
          </w:tcPr>
          <w:p w14:paraId="1C99FCD7" w14:textId="77777777" w:rsidR="00020D68" w:rsidRDefault="00FA1F6E" w:rsidP="00A61DC3">
            <w:r>
              <w:t>Communication</w:t>
            </w:r>
          </w:p>
        </w:tc>
        <w:tc>
          <w:tcPr>
            <w:tcW w:w="7398" w:type="dxa"/>
            <w:gridSpan w:val="2"/>
          </w:tcPr>
          <w:p w14:paraId="5A8578B4" w14:textId="77777777" w:rsidR="00020D68" w:rsidRDefault="00DE376C" w:rsidP="00A61DC3">
            <w:r>
              <w:t>RS485</w:t>
            </w:r>
            <w:r w:rsidR="00FA1F6E">
              <w:t>, RS232 or Ethernet</w:t>
            </w:r>
            <w:r>
              <w:t xml:space="preserve"> c</w:t>
            </w:r>
            <w:r w:rsidR="00020D68">
              <w:t>ommunication with count module of a parking count system</w:t>
            </w:r>
          </w:p>
        </w:tc>
      </w:tr>
      <w:tr w:rsidR="00020D68" w14:paraId="52F480E0" w14:textId="77777777" w:rsidTr="005145EA">
        <w:tc>
          <w:tcPr>
            <w:tcW w:w="2178" w:type="dxa"/>
          </w:tcPr>
          <w:p w14:paraId="0933A63A" w14:textId="77777777" w:rsidR="00020D68" w:rsidRDefault="00020D68">
            <w:r>
              <w:t>Warranty</w:t>
            </w:r>
          </w:p>
        </w:tc>
        <w:tc>
          <w:tcPr>
            <w:tcW w:w="7398" w:type="dxa"/>
            <w:gridSpan w:val="2"/>
          </w:tcPr>
          <w:p w14:paraId="1D7CAC8E" w14:textId="77777777" w:rsidR="00020D68" w:rsidRDefault="00020D68" w:rsidP="00260292">
            <w:r>
              <w:t>2 Years</w:t>
            </w:r>
          </w:p>
        </w:tc>
      </w:tr>
      <w:tr w:rsidR="00020D68" w14:paraId="0435197B" w14:textId="77777777" w:rsidTr="005145EA">
        <w:tc>
          <w:tcPr>
            <w:tcW w:w="2178" w:type="dxa"/>
          </w:tcPr>
          <w:p w14:paraId="0901018C" w14:textId="77777777" w:rsidR="00020D68" w:rsidRDefault="00020D68">
            <w:r>
              <w:t>Country of Origin</w:t>
            </w:r>
          </w:p>
        </w:tc>
        <w:tc>
          <w:tcPr>
            <w:tcW w:w="7398" w:type="dxa"/>
            <w:gridSpan w:val="2"/>
          </w:tcPr>
          <w:p w14:paraId="06A5081E" w14:textId="77777777" w:rsidR="00020D68" w:rsidRDefault="00020D68" w:rsidP="00260292">
            <w:r>
              <w:t>Manufactured and assembled in the USA</w:t>
            </w:r>
          </w:p>
        </w:tc>
      </w:tr>
      <w:tr w:rsidR="00020D68" w14:paraId="7D5DFD0A" w14:textId="77777777" w:rsidTr="005145EA">
        <w:tc>
          <w:tcPr>
            <w:tcW w:w="2178" w:type="dxa"/>
          </w:tcPr>
          <w:p w14:paraId="041F281A" w14:textId="77777777" w:rsidR="00020D68" w:rsidRDefault="00020D68">
            <w:r>
              <w:t>Mounting</w:t>
            </w:r>
          </w:p>
        </w:tc>
        <w:tc>
          <w:tcPr>
            <w:tcW w:w="7398" w:type="dxa"/>
            <w:gridSpan w:val="2"/>
          </w:tcPr>
          <w:p w14:paraId="3A522B90" w14:textId="77777777" w:rsidR="00020D68" w:rsidRDefault="00020D68" w:rsidP="0064250A">
            <w:r>
              <w:t xml:space="preserve">Wall, double post, </w:t>
            </w:r>
            <w:r w:rsidR="0064250A">
              <w:t>ceiling, p</w:t>
            </w:r>
            <w:r w:rsidR="00022B0C">
              <w:t>rojection</w:t>
            </w:r>
          </w:p>
        </w:tc>
      </w:tr>
      <w:tr w:rsidR="00320381" w14:paraId="295A79A4" w14:textId="77777777" w:rsidTr="00320381">
        <w:tc>
          <w:tcPr>
            <w:tcW w:w="2178" w:type="dxa"/>
            <w:vMerge w:val="restart"/>
          </w:tcPr>
          <w:p w14:paraId="19C15EA6" w14:textId="77777777" w:rsidR="00320381" w:rsidRDefault="00320381" w:rsidP="00745028">
            <w:r>
              <w:t>Parking System Compatibility</w:t>
            </w:r>
          </w:p>
        </w:tc>
        <w:tc>
          <w:tcPr>
            <w:tcW w:w="7398" w:type="dxa"/>
            <w:gridSpan w:val="2"/>
            <w:tcBorders>
              <w:bottom w:val="nil"/>
            </w:tcBorders>
          </w:tcPr>
          <w:p w14:paraId="2A58BD14" w14:textId="77777777" w:rsidR="00320381" w:rsidRDefault="00320381" w:rsidP="00320381">
            <w:r>
              <w:t>Signal-Tech RedStorm Parking Guidance System and these 3</w:t>
            </w:r>
            <w:r w:rsidRPr="00320381">
              <w:rPr>
                <w:vertAlign w:val="superscript"/>
              </w:rPr>
              <w:t>rd</w:t>
            </w:r>
            <w:r>
              <w:t>-party parking systems:</w:t>
            </w:r>
          </w:p>
        </w:tc>
      </w:tr>
      <w:tr w:rsidR="00320381" w14:paraId="5E330004" w14:textId="77777777" w:rsidTr="00320381">
        <w:tc>
          <w:tcPr>
            <w:tcW w:w="2178" w:type="dxa"/>
            <w:vMerge/>
          </w:tcPr>
          <w:p w14:paraId="0EF94619" w14:textId="77777777" w:rsidR="00320381" w:rsidRDefault="00320381"/>
        </w:tc>
        <w:tc>
          <w:tcPr>
            <w:tcW w:w="3699" w:type="dxa"/>
            <w:tcBorders>
              <w:top w:val="nil"/>
              <w:right w:val="nil"/>
            </w:tcBorders>
          </w:tcPr>
          <w:p w14:paraId="0C02E56E" w14:textId="77777777" w:rsidR="00320381" w:rsidRDefault="00320381" w:rsidP="00B51BE3">
            <w:r>
              <w:t>Amano</w:t>
            </w:r>
          </w:p>
          <w:p w14:paraId="66287736" w14:textId="77777777" w:rsidR="00320381" w:rsidRDefault="000904BC" w:rsidP="00B51BE3">
            <w:r>
              <w:lastRenderedPageBreak/>
              <w:t>Carlo Gavazzi</w:t>
            </w:r>
          </w:p>
          <w:p w14:paraId="3972530C" w14:textId="77777777" w:rsidR="00320381" w:rsidRDefault="00320381" w:rsidP="00B51BE3">
            <w:r>
              <w:t>Eco Lighting Solutions</w:t>
            </w:r>
          </w:p>
          <w:p w14:paraId="71E8B392" w14:textId="77777777" w:rsidR="00320381" w:rsidRDefault="00320381" w:rsidP="00B51BE3">
            <w:r>
              <w:t>HUB Parking</w:t>
            </w:r>
          </w:p>
          <w:p w14:paraId="073DDB6F" w14:textId="77777777" w:rsidR="00320381" w:rsidRDefault="00320381" w:rsidP="00B51BE3">
            <w:r>
              <w:t>Q-Free</w:t>
            </w:r>
          </w:p>
          <w:p w14:paraId="6B17DA4F" w14:textId="77777777" w:rsidR="00320381" w:rsidRDefault="00320381" w:rsidP="00B51BE3">
            <w:proofErr w:type="spellStart"/>
            <w:r>
              <w:t>Scheidt</w:t>
            </w:r>
            <w:proofErr w:type="spellEnd"/>
            <w:r>
              <w:t xml:space="preserve"> &amp; Bachmann</w:t>
            </w:r>
          </w:p>
          <w:p w14:paraId="0D1EF041" w14:textId="77777777" w:rsidR="00B51BE3" w:rsidRDefault="00B51BE3" w:rsidP="00B51BE3">
            <w:proofErr w:type="spellStart"/>
            <w:r>
              <w:t>EnSight</w:t>
            </w:r>
            <w:proofErr w:type="spellEnd"/>
            <w:r>
              <w:t xml:space="preserve"> Technologies</w:t>
            </w:r>
          </w:p>
          <w:p w14:paraId="76F3A249" w14:textId="77777777" w:rsidR="00CC0B2D" w:rsidRDefault="00CC0B2D" w:rsidP="00B51BE3">
            <w:proofErr w:type="spellStart"/>
            <w:r>
              <w:t>Kenall</w:t>
            </w:r>
            <w:proofErr w:type="spellEnd"/>
          </w:p>
          <w:p w14:paraId="7BA5BEF4" w14:textId="77777777" w:rsidR="000904BC" w:rsidRDefault="000904BC" w:rsidP="00B51BE3">
            <w:r>
              <w:t>DESIGNA</w:t>
            </w:r>
          </w:p>
          <w:p w14:paraId="209BA156" w14:textId="77777777" w:rsidR="000904BC" w:rsidRDefault="000904BC" w:rsidP="00B51BE3">
            <w:r>
              <w:t xml:space="preserve">Genetec </w:t>
            </w:r>
            <w:proofErr w:type="spellStart"/>
            <w:r>
              <w:t>AutoVu</w:t>
            </w:r>
            <w:proofErr w:type="spellEnd"/>
          </w:p>
        </w:tc>
        <w:tc>
          <w:tcPr>
            <w:tcW w:w="3699" w:type="dxa"/>
            <w:tcBorders>
              <w:top w:val="nil"/>
              <w:left w:val="nil"/>
            </w:tcBorders>
          </w:tcPr>
          <w:p w14:paraId="0D891C1D" w14:textId="77777777" w:rsidR="00320381" w:rsidRDefault="00320381" w:rsidP="00B51BE3">
            <w:r>
              <w:lastRenderedPageBreak/>
              <w:t>Sentry</w:t>
            </w:r>
          </w:p>
          <w:p w14:paraId="60083D08" w14:textId="77777777" w:rsidR="00320381" w:rsidRDefault="00320381" w:rsidP="00B51BE3">
            <w:r>
              <w:lastRenderedPageBreak/>
              <w:t>SKIDATA</w:t>
            </w:r>
          </w:p>
          <w:p w14:paraId="371A3419" w14:textId="77777777" w:rsidR="00320381" w:rsidRDefault="00320381" w:rsidP="00B51BE3">
            <w:r>
              <w:t>T2 Systems</w:t>
            </w:r>
          </w:p>
          <w:p w14:paraId="034D74E8" w14:textId="77777777" w:rsidR="00320381" w:rsidRDefault="00320381" w:rsidP="00B51BE3">
            <w:r>
              <w:t xml:space="preserve">TIBA </w:t>
            </w:r>
          </w:p>
          <w:p w14:paraId="4D8AA93E" w14:textId="77777777" w:rsidR="00320381" w:rsidRDefault="00320381" w:rsidP="00B51BE3">
            <w:r>
              <w:t>WPS</w:t>
            </w:r>
          </w:p>
          <w:p w14:paraId="5B8B9BDF" w14:textId="77777777" w:rsidR="00320381" w:rsidRDefault="00320381" w:rsidP="00B51BE3">
            <w:r>
              <w:t>3M|Federal APD</w:t>
            </w:r>
          </w:p>
          <w:p w14:paraId="15E79D85" w14:textId="77777777" w:rsidR="00B51BE3" w:rsidRDefault="00B51BE3" w:rsidP="00B51BE3">
            <w:r>
              <w:t xml:space="preserve">APS </w:t>
            </w:r>
            <w:r w:rsidRPr="00B51BE3">
              <w:t>(Access Professional Systems)</w:t>
            </w:r>
          </w:p>
          <w:p w14:paraId="7192B32E" w14:textId="77777777" w:rsidR="000904BC" w:rsidRDefault="000904BC" w:rsidP="00B51BE3">
            <w:r>
              <w:t>All Traffic Solutions</w:t>
            </w:r>
          </w:p>
          <w:p w14:paraId="23F0F0EF" w14:textId="77777777" w:rsidR="000904BC" w:rsidRDefault="000904BC" w:rsidP="00B51BE3">
            <w:proofErr w:type="spellStart"/>
            <w:r>
              <w:t>Japa</w:t>
            </w:r>
            <w:proofErr w:type="spellEnd"/>
          </w:p>
          <w:p w14:paraId="6D57D92A" w14:textId="77777777" w:rsidR="000904BC" w:rsidRDefault="00E3656D" w:rsidP="00B51BE3">
            <w:r>
              <w:t>Eleven-x</w:t>
            </w:r>
          </w:p>
        </w:tc>
      </w:tr>
    </w:tbl>
    <w:p w14:paraId="659478AF" w14:textId="77777777" w:rsidR="00B51BE3" w:rsidRDefault="00B51BE3" w:rsidP="0032038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BE6CC9C" w14:textId="77777777" w:rsidR="00B51BE3" w:rsidRDefault="00B51BE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304439E4" w14:textId="77777777" w:rsidR="00142577" w:rsidRDefault="00E73D42" w:rsidP="0032038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SA Series </w:t>
      </w:r>
      <w:r w:rsidRPr="00E73D42">
        <w:rPr>
          <w:rFonts w:ascii="Times New Roman" w:eastAsia="Times New Roman" w:hAnsi="Times New Roman" w:cs="Times New Roman"/>
          <w:b/>
          <w:bCs/>
          <w:sz w:val="28"/>
          <w:szCs w:val="28"/>
        </w:rPr>
        <w:t>4-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</w:t>
      </w:r>
      <w:r w:rsidRPr="00E73D42">
        <w:rPr>
          <w:rFonts w:ascii="Times New Roman" w:eastAsia="Times New Roman" w:hAnsi="Times New Roman" w:cs="Times New Roman"/>
          <w:b/>
          <w:bCs/>
          <w:sz w:val="28"/>
          <w:szCs w:val="28"/>
        </w:rPr>
        <w:t>igit Count Signs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9354"/>
      </w:tblGrid>
      <w:tr w:rsidR="00B16DF8" w:rsidRPr="00B16DF8" w14:paraId="3A19D2C8" w14:textId="77777777" w:rsidTr="00500423">
        <w:trPr>
          <w:trHeight w:val="10401"/>
          <w:tblCellSpacing w:w="0" w:type="dxa"/>
        </w:trPr>
        <w:tc>
          <w:tcPr>
            <w:tcW w:w="0" w:type="auto"/>
            <w:vAlign w:val="center"/>
            <w:hideMark/>
          </w:tcPr>
          <w:p w14:paraId="446DA2AA" w14:textId="77777777" w:rsidR="00B16DF8" w:rsidRPr="00B16DF8" w:rsidRDefault="00B16DF8" w:rsidP="00B1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D062E7F" w14:textId="77777777" w:rsidR="00B16DF8" w:rsidRDefault="00B16DF8" w:rsidP="0053350F">
            <w:pPr>
              <w:rPr>
                <w:rFonts w:eastAsia="Times New Roman" w:cstheme="minorHAnsi"/>
              </w:rPr>
            </w:pPr>
            <w:r w:rsidRPr="00A2655E">
              <w:rPr>
                <w:rFonts w:eastAsia="Times New Roman" w:cstheme="minorHAnsi"/>
              </w:rPr>
              <w:t>LED count signs are designed as a seven-segment display</w:t>
            </w:r>
            <w:r w:rsidR="0053350F" w:rsidRPr="00A2655E">
              <w:rPr>
                <w:rFonts w:eastAsia="Times New Roman" w:cstheme="minorHAnsi"/>
              </w:rPr>
              <w:t xml:space="preserve"> and </w:t>
            </w:r>
            <w:r w:rsidRPr="00A2655E">
              <w:rPr>
                <w:rFonts w:eastAsia="Times New Roman" w:cstheme="minorHAnsi"/>
              </w:rPr>
              <w:t xml:space="preserve">engineered </w:t>
            </w:r>
            <w:r w:rsidRPr="00A2655E">
              <w:t xml:space="preserve">to accept data from 3rd-party parking systems. </w:t>
            </w:r>
            <w:r w:rsidRPr="00A2655E">
              <w:rPr>
                <w:rFonts w:eastAsia="Times New Roman" w:cstheme="minorHAnsi"/>
              </w:rPr>
              <w:t xml:space="preserve"> </w:t>
            </w:r>
            <w:r w:rsidRPr="00A2655E">
              <w:t xml:space="preserve">They can be used as a stand-alone sign or as an insert in your pylon or overhead directional sign. </w:t>
            </w:r>
            <w:r w:rsidR="0053350F" w:rsidRPr="00A2655E">
              <w:t xml:space="preserve">The signs are available in any two monochromatic combinations of green, red, blue, amber or white LEDs and </w:t>
            </w:r>
            <w:r w:rsidRPr="00A2655E">
              <w:rPr>
                <w:rFonts w:eastAsia="Times New Roman" w:cstheme="minorHAnsi"/>
              </w:rPr>
              <w:t xml:space="preserve">are capable of displaying up to four numeric values as well as OPEN, FULL, and </w:t>
            </w:r>
            <w:proofErr w:type="spellStart"/>
            <w:r w:rsidRPr="00A2655E">
              <w:rPr>
                <w:rFonts w:eastAsia="Times New Roman" w:cstheme="minorHAnsi"/>
              </w:rPr>
              <w:t>CLSd</w:t>
            </w:r>
            <w:proofErr w:type="spellEnd"/>
            <w:r w:rsidRPr="00A2655E">
              <w:rPr>
                <w:rFonts w:eastAsia="Times New Roman" w:cstheme="minorHAnsi"/>
              </w:rPr>
              <w:t xml:space="preserve"> (Closed). </w:t>
            </w:r>
            <w:r w:rsidR="0053350F" w:rsidRPr="00A2655E">
              <w:rPr>
                <w:rFonts w:eastAsia="Times New Roman" w:cstheme="minorHAnsi"/>
              </w:rPr>
              <w:t>The signs are g</w:t>
            </w:r>
            <w:r w:rsidRPr="00A2655E">
              <w:rPr>
                <w:rFonts w:eastAsia="Times New Roman" w:cstheme="minorHAnsi"/>
              </w:rPr>
              <w:t>uarante</w:t>
            </w:r>
            <w:r w:rsidR="0053350F" w:rsidRPr="00A2655E">
              <w:rPr>
                <w:rFonts w:eastAsia="Times New Roman" w:cstheme="minorHAnsi"/>
              </w:rPr>
              <w:t xml:space="preserve">ed readable in direct sunlight and blank </w:t>
            </w:r>
            <w:r w:rsidRPr="00A2655E">
              <w:rPr>
                <w:rFonts w:eastAsia="Times New Roman" w:cstheme="minorHAnsi"/>
              </w:rPr>
              <w:t xml:space="preserve">out when off. </w:t>
            </w:r>
            <w:r w:rsidR="0053350F" w:rsidRPr="00A2655E">
              <w:rPr>
                <w:rFonts w:eastAsia="Times New Roman" w:cstheme="minorHAnsi"/>
              </w:rPr>
              <w:t>The standard c</w:t>
            </w:r>
            <w:r w:rsidRPr="00A2655E">
              <w:rPr>
                <w:rFonts w:eastAsia="Times New Roman" w:cstheme="minorHAnsi"/>
              </w:rPr>
              <w:t xml:space="preserve">abinet finish </w:t>
            </w:r>
            <w:r w:rsidR="0053350F" w:rsidRPr="00A2655E">
              <w:rPr>
                <w:rFonts w:eastAsia="Times New Roman" w:cstheme="minorHAnsi"/>
              </w:rPr>
              <w:t xml:space="preserve">is </w:t>
            </w:r>
            <w:proofErr w:type="spellStart"/>
            <w:r w:rsidRPr="00A2655E">
              <w:rPr>
                <w:rFonts w:eastAsia="Times New Roman" w:cstheme="minorHAnsi"/>
              </w:rPr>
              <w:t>Duranodic</w:t>
            </w:r>
            <w:proofErr w:type="spellEnd"/>
            <w:r w:rsidRPr="00A2655E">
              <w:rPr>
                <w:rFonts w:eastAsia="Times New Roman" w:cstheme="minorHAnsi"/>
              </w:rPr>
              <w:t xml:space="preserve"> Bronze</w:t>
            </w:r>
            <w:r w:rsidR="0053350F" w:rsidRPr="00A2655E">
              <w:rPr>
                <w:rFonts w:eastAsia="Times New Roman" w:cstheme="minorHAnsi"/>
              </w:rPr>
              <w:t xml:space="preserve">; custom colors are available. </w:t>
            </w:r>
            <w:r w:rsidRPr="00A2655E">
              <w:rPr>
                <w:rFonts w:eastAsia="Times New Roman" w:cstheme="minorHAnsi"/>
              </w:rPr>
              <w:t xml:space="preserve"> UL/</w:t>
            </w:r>
            <w:proofErr w:type="spellStart"/>
            <w:r w:rsidRPr="00A2655E">
              <w:rPr>
                <w:rFonts w:eastAsia="Times New Roman" w:cstheme="minorHAnsi"/>
              </w:rPr>
              <w:t>cUL</w:t>
            </w:r>
            <w:proofErr w:type="spellEnd"/>
            <w:r w:rsidRPr="00A2655E">
              <w:rPr>
                <w:rFonts w:eastAsia="Times New Roman" w:cstheme="minorHAnsi"/>
              </w:rPr>
              <w:t xml:space="preserve"> Listed</w:t>
            </w:r>
            <w:r w:rsidR="0053350F" w:rsidRPr="00A2655E">
              <w:rPr>
                <w:rFonts w:eastAsia="Times New Roman" w:cstheme="minorHAnsi"/>
              </w:rPr>
              <w:t xml:space="preserve">. </w:t>
            </w:r>
          </w:p>
          <w:p w14:paraId="313296B4" w14:textId="77777777" w:rsidR="00500423" w:rsidRPr="00500423" w:rsidRDefault="00500423" w:rsidP="00500423">
            <w:pPr>
              <w:pStyle w:val="NoSpacing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04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Technical Specifications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02"/>
              <w:gridCol w:w="2875"/>
              <w:gridCol w:w="4207"/>
            </w:tblGrid>
            <w:tr w:rsidR="00E551DF" w14:paraId="2159AA87" w14:textId="77777777" w:rsidTr="00B51BE3">
              <w:tc>
                <w:tcPr>
                  <w:tcW w:w="0" w:type="auto"/>
                  <w:vMerge w:val="restart"/>
                </w:tcPr>
                <w:p w14:paraId="7CCC45B0" w14:textId="77777777" w:rsidR="00E551DF" w:rsidRPr="00500423" w:rsidRDefault="00E551DF" w:rsidP="00E551DF">
                  <w:pPr>
                    <w:rPr>
                      <w:sz w:val="24"/>
                      <w:szCs w:val="24"/>
                    </w:rPr>
                  </w:pPr>
                  <w:r w:rsidRPr="00500423">
                    <w:rPr>
                      <w:sz w:val="24"/>
                      <w:szCs w:val="24"/>
                    </w:rPr>
                    <w:t>Products</w:t>
                  </w:r>
                </w:p>
              </w:tc>
              <w:tc>
                <w:tcPr>
                  <w:tcW w:w="0" w:type="auto"/>
                </w:tcPr>
                <w:p w14:paraId="439A6A06" w14:textId="77777777" w:rsidR="00E551DF" w:rsidRDefault="00E551DF" w:rsidP="0053350F">
                  <w:r>
                    <w:rPr>
                      <w:noProof/>
                    </w:rPr>
                    <w:drawing>
                      <wp:inline distT="0" distB="0" distL="0" distR="0" wp14:anchorId="3107875D" wp14:editId="08E0B8E8">
                        <wp:extent cx="1018486" cy="676275"/>
                        <wp:effectExtent l="0" t="0" r="0" b="0"/>
                        <wp:docPr id="6" name="Picture 1" descr="http://dms/data_files/products/9974_tr_image_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dms/data_files/products/9974_tr_image_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1927" cy="678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</w:tcPr>
                <w:p w14:paraId="15E2300A" w14:textId="77777777" w:rsidR="00E551DF" w:rsidRDefault="00E551DF" w:rsidP="0053350F">
                  <w:r>
                    <w:rPr>
                      <w:noProof/>
                    </w:rPr>
                    <w:drawing>
                      <wp:inline distT="0" distB="0" distL="0" distR="0" wp14:anchorId="30223FA6" wp14:editId="2CF092F4">
                        <wp:extent cx="1446834" cy="762000"/>
                        <wp:effectExtent l="19050" t="0" r="966" b="0"/>
                        <wp:docPr id="8" name="Picture 13" descr="http://dms/data_files/products/24285_tr_image_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dms/data_files/products/24285_tr_image_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6834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551DF" w14:paraId="0CD60617" w14:textId="77777777" w:rsidTr="00B51BE3">
              <w:tc>
                <w:tcPr>
                  <w:tcW w:w="0" w:type="auto"/>
                  <w:vMerge/>
                </w:tcPr>
                <w:p w14:paraId="07EFCE0B" w14:textId="77777777" w:rsidR="00E551DF" w:rsidRPr="00500423" w:rsidRDefault="00E551DF" w:rsidP="0053350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5C03D09" w14:textId="77777777" w:rsidR="00E551DF" w:rsidRDefault="00E551DF" w:rsidP="0053350F">
                  <w:r>
                    <w:t>Product ID # 9974</w:t>
                  </w:r>
                </w:p>
              </w:tc>
              <w:tc>
                <w:tcPr>
                  <w:tcW w:w="0" w:type="auto"/>
                </w:tcPr>
                <w:p w14:paraId="0AF24F39" w14:textId="77777777" w:rsidR="00E551DF" w:rsidRDefault="00E551DF" w:rsidP="0053350F">
                  <w:r>
                    <w:t xml:space="preserve">Product ID# </w:t>
                  </w:r>
                  <w:r w:rsidR="001363F3">
                    <w:t>50911</w:t>
                  </w:r>
                </w:p>
              </w:tc>
            </w:tr>
            <w:tr w:rsidR="0053350F" w14:paraId="0DB2D706" w14:textId="77777777" w:rsidTr="00B51BE3">
              <w:tc>
                <w:tcPr>
                  <w:tcW w:w="0" w:type="auto"/>
                </w:tcPr>
                <w:p w14:paraId="09B465AB" w14:textId="77777777" w:rsidR="0053350F" w:rsidRPr="00500423" w:rsidRDefault="0053350F" w:rsidP="0053350F">
                  <w:pPr>
                    <w:rPr>
                      <w:sz w:val="24"/>
                      <w:szCs w:val="24"/>
                    </w:rPr>
                  </w:pPr>
                  <w:r w:rsidRPr="00500423">
                    <w:rPr>
                      <w:sz w:val="24"/>
                      <w:szCs w:val="24"/>
                    </w:rPr>
                    <w:t>Overall Sign Dimensions</w:t>
                  </w:r>
                </w:p>
              </w:tc>
              <w:tc>
                <w:tcPr>
                  <w:tcW w:w="0" w:type="auto"/>
                </w:tcPr>
                <w:p w14:paraId="68AD0545" w14:textId="77777777" w:rsidR="0053350F" w:rsidRDefault="0053350F" w:rsidP="0053350F">
                  <w:r>
                    <w:t>7”h x 18”w x 2.5”d</w:t>
                  </w:r>
                </w:p>
              </w:tc>
              <w:tc>
                <w:tcPr>
                  <w:tcW w:w="0" w:type="auto"/>
                </w:tcPr>
                <w:p w14:paraId="50B01217" w14:textId="77777777" w:rsidR="0053350F" w:rsidRDefault="001363F3" w:rsidP="0053350F">
                  <w:r>
                    <w:t>9</w:t>
                  </w:r>
                  <w:r w:rsidR="0053350F">
                    <w:t>”h x 26”w x 2.5”d</w:t>
                  </w:r>
                </w:p>
              </w:tc>
            </w:tr>
            <w:tr w:rsidR="0053350F" w14:paraId="1BAC8C94" w14:textId="77777777" w:rsidTr="00B51BE3">
              <w:tc>
                <w:tcPr>
                  <w:tcW w:w="0" w:type="auto"/>
                </w:tcPr>
                <w:p w14:paraId="20EFAC6A" w14:textId="77777777" w:rsidR="0053350F" w:rsidRPr="00500423" w:rsidRDefault="0053350F" w:rsidP="0053350F">
                  <w:pPr>
                    <w:rPr>
                      <w:sz w:val="24"/>
                      <w:szCs w:val="24"/>
                    </w:rPr>
                  </w:pPr>
                  <w:r w:rsidRPr="00500423">
                    <w:rPr>
                      <w:sz w:val="24"/>
                      <w:szCs w:val="24"/>
                    </w:rPr>
                    <w:t>Visual Opening</w:t>
                  </w:r>
                </w:p>
              </w:tc>
              <w:tc>
                <w:tcPr>
                  <w:tcW w:w="0" w:type="auto"/>
                </w:tcPr>
                <w:p w14:paraId="25B630EE" w14:textId="77777777" w:rsidR="0053350F" w:rsidRDefault="0053350F" w:rsidP="0053350F">
                  <w:r>
                    <w:t>6-1/8”h x 17-1/8”w</w:t>
                  </w:r>
                </w:p>
              </w:tc>
              <w:tc>
                <w:tcPr>
                  <w:tcW w:w="0" w:type="auto"/>
                </w:tcPr>
                <w:p w14:paraId="597FECCE" w14:textId="77777777" w:rsidR="0053350F" w:rsidRDefault="001363F3" w:rsidP="0053350F">
                  <w:r>
                    <w:t>8</w:t>
                  </w:r>
                  <w:r w:rsidR="0053350F">
                    <w:t>-1/8”h x 25-1/8”w</w:t>
                  </w:r>
                </w:p>
              </w:tc>
            </w:tr>
            <w:tr w:rsidR="0053350F" w14:paraId="019D89A6" w14:textId="77777777" w:rsidTr="00B51BE3">
              <w:tc>
                <w:tcPr>
                  <w:tcW w:w="0" w:type="auto"/>
                </w:tcPr>
                <w:p w14:paraId="4599D944" w14:textId="77777777" w:rsidR="0053350F" w:rsidRPr="00500423" w:rsidRDefault="0053350F" w:rsidP="0053350F">
                  <w:pPr>
                    <w:rPr>
                      <w:sz w:val="24"/>
                      <w:szCs w:val="24"/>
                    </w:rPr>
                  </w:pPr>
                  <w:r w:rsidRPr="00500423">
                    <w:rPr>
                      <w:sz w:val="24"/>
                      <w:szCs w:val="24"/>
                    </w:rPr>
                    <w:t>Character Height</w:t>
                  </w:r>
                </w:p>
              </w:tc>
              <w:tc>
                <w:tcPr>
                  <w:tcW w:w="0" w:type="auto"/>
                </w:tcPr>
                <w:p w14:paraId="3A30D4D4" w14:textId="77777777" w:rsidR="0053350F" w:rsidRDefault="0053350F" w:rsidP="0053350F">
                  <w:r>
                    <w:t>4 ½”</w:t>
                  </w:r>
                </w:p>
              </w:tc>
              <w:tc>
                <w:tcPr>
                  <w:tcW w:w="0" w:type="auto"/>
                </w:tcPr>
                <w:p w14:paraId="7E619BA8" w14:textId="77777777" w:rsidR="0053350F" w:rsidRDefault="0053350F" w:rsidP="0053350F">
                  <w:r>
                    <w:t>7 ½” and 6”</w:t>
                  </w:r>
                </w:p>
              </w:tc>
            </w:tr>
            <w:tr w:rsidR="0053350F" w14:paraId="47AC7C5A" w14:textId="77777777" w:rsidTr="00B51BE3">
              <w:tc>
                <w:tcPr>
                  <w:tcW w:w="0" w:type="auto"/>
                </w:tcPr>
                <w:p w14:paraId="13B66479" w14:textId="77777777" w:rsidR="0053350F" w:rsidRPr="00500423" w:rsidRDefault="0053350F" w:rsidP="0053350F">
                  <w:pPr>
                    <w:rPr>
                      <w:sz w:val="24"/>
                      <w:szCs w:val="24"/>
                    </w:rPr>
                  </w:pPr>
                  <w:r w:rsidRPr="00500423">
                    <w:rPr>
                      <w:sz w:val="24"/>
                      <w:szCs w:val="24"/>
                    </w:rPr>
                    <w:t>Illumination Source</w:t>
                  </w:r>
                </w:p>
              </w:tc>
              <w:tc>
                <w:tcPr>
                  <w:tcW w:w="0" w:type="auto"/>
                  <w:gridSpan w:val="2"/>
                </w:tcPr>
                <w:p w14:paraId="57392E27" w14:textId="77777777" w:rsidR="0053350F" w:rsidRDefault="0053350F" w:rsidP="0053350F">
                  <w:r>
                    <w:t>Super bright direct-view LEDs with built-in automatic dimming</w:t>
                  </w:r>
                </w:p>
              </w:tc>
            </w:tr>
            <w:tr w:rsidR="0053350F" w14:paraId="7C689743" w14:textId="77777777" w:rsidTr="00B51BE3">
              <w:tc>
                <w:tcPr>
                  <w:tcW w:w="0" w:type="auto"/>
                </w:tcPr>
                <w:p w14:paraId="3F2B5353" w14:textId="77777777" w:rsidR="0053350F" w:rsidRPr="00500423" w:rsidRDefault="00DE376C" w:rsidP="0053350F">
                  <w:pPr>
                    <w:rPr>
                      <w:sz w:val="24"/>
                      <w:szCs w:val="24"/>
                    </w:rPr>
                  </w:pPr>
                  <w:r w:rsidRPr="00500423">
                    <w:rPr>
                      <w:sz w:val="24"/>
                      <w:szCs w:val="24"/>
                    </w:rPr>
                    <w:t>Electrical</w:t>
                  </w:r>
                </w:p>
              </w:tc>
              <w:tc>
                <w:tcPr>
                  <w:tcW w:w="0" w:type="auto"/>
                  <w:gridSpan w:val="2"/>
                </w:tcPr>
                <w:p w14:paraId="7C286DB1" w14:textId="77777777" w:rsidR="0053350F" w:rsidRDefault="00DE376C" w:rsidP="0053350F">
                  <w:r>
                    <w:t>UL/</w:t>
                  </w:r>
                  <w:proofErr w:type="spellStart"/>
                  <w:r>
                    <w:t>cUL</w:t>
                  </w:r>
                  <w:proofErr w:type="spellEnd"/>
                  <w:r>
                    <w:t xml:space="preserve"> Listed for wet locations</w:t>
                  </w:r>
                </w:p>
                <w:p w14:paraId="360517A3" w14:textId="77777777" w:rsidR="00DE376C" w:rsidRDefault="00DE376C" w:rsidP="0053350F">
                  <w:r>
                    <w:t>120-277VAC or 12-24VDC</w:t>
                  </w:r>
                </w:p>
              </w:tc>
            </w:tr>
            <w:tr w:rsidR="00DE376C" w14:paraId="05C7ECC7" w14:textId="77777777" w:rsidTr="00B51BE3">
              <w:tc>
                <w:tcPr>
                  <w:tcW w:w="0" w:type="auto"/>
                </w:tcPr>
                <w:p w14:paraId="537FD761" w14:textId="77777777" w:rsidR="00DE376C" w:rsidRPr="00500423" w:rsidRDefault="00DE376C" w:rsidP="0053350F">
                  <w:pPr>
                    <w:rPr>
                      <w:sz w:val="24"/>
                      <w:szCs w:val="24"/>
                    </w:rPr>
                  </w:pPr>
                  <w:r w:rsidRPr="00500423">
                    <w:rPr>
                      <w:sz w:val="24"/>
                      <w:szCs w:val="24"/>
                    </w:rPr>
                    <w:t>Messages</w:t>
                  </w:r>
                </w:p>
              </w:tc>
              <w:tc>
                <w:tcPr>
                  <w:tcW w:w="0" w:type="auto"/>
                  <w:gridSpan w:val="2"/>
                </w:tcPr>
                <w:p w14:paraId="6A768FC2" w14:textId="77777777" w:rsidR="00A177E6" w:rsidRDefault="00DE376C" w:rsidP="0053350F">
                  <w:r>
                    <w:t xml:space="preserve">4-digit, seven-segment display </w:t>
                  </w:r>
                  <w:r w:rsidR="00A177E6">
                    <w:t xml:space="preserve">Capable of displaying up to four numeric values as well as OPEN, FULL, and </w:t>
                  </w:r>
                  <w:proofErr w:type="spellStart"/>
                  <w:r w:rsidR="00A177E6">
                    <w:t>CLSd</w:t>
                  </w:r>
                  <w:proofErr w:type="spellEnd"/>
                  <w:r w:rsidR="00A177E6">
                    <w:t xml:space="preserve"> (Closed).</w:t>
                  </w:r>
                </w:p>
                <w:p w14:paraId="6175F86A" w14:textId="77777777" w:rsidR="00DE376C" w:rsidRDefault="00DE376C" w:rsidP="0053350F">
                  <w:r>
                    <w:t>Available in any two monochromatic combinations of green, red, blue, amber or white LEDs</w:t>
                  </w:r>
                </w:p>
              </w:tc>
            </w:tr>
            <w:tr w:rsidR="00DE376C" w14:paraId="75830B70" w14:textId="77777777" w:rsidTr="00B51BE3">
              <w:tc>
                <w:tcPr>
                  <w:tcW w:w="0" w:type="auto"/>
                </w:tcPr>
                <w:p w14:paraId="61D341D8" w14:textId="77777777" w:rsidR="00DE376C" w:rsidRPr="00500423" w:rsidRDefault="00DE376C" w:rsidP="00500423">
                  <w:pPr>
                    <w:rPr>
                      <w:sz w:val="24"/>
                      <w:szCs w:val="24"/>
                    </w:rPr>
                  </w:pPr>
                  <w:r w:rsidRPr="00500423">
                    <w:rPr>
                      <w:sz w:val="24"/>
                      <w:szCs w:val="24"/>
                    </w:rPr>
                    <w:t>C</w:t>
                  </w:r>
                  <w:r w:rsidR="00500423" w:rsidRPr="00500423">
                    <w:rPr>
                      <w:sz w:val="24"/>
                      <w:szCs w:val="24"/>
                    </w:rPr>
                    <w:t>ommunication</w:t>
                  </w:r>
                </w:p>
              </w:tc>
              <w:tc>
                <w:tcPr>
                  <w:tcW w:w="0" w:type="auto"/>
                  <w:gridSpan w:val="2"/>
                </w:tcPr>
                <w:p w14:paraId="0091D41D" w14:textId="77777777" w:rsidR="00DE376C" w:rsidRDefault="00DE376C" w:rsidP="0053350F">
                  <w:r>
                    <w:t>RS485</w:t>
                  </w:r>
                  <w:r w:rsidR="00FA1F6E">
                    <w:t>, RS232 or Ethernet</w:t>
                  </w:r>
                  <w:r>
                    <w:t xml:space="preserve"> communication with parking count system</w:t>
                  </w:r>
                </w:p>
              </w:tc>
            </w:tr>
            <w:tr w:rsidR="00DE376C" w14:paraId="4B5499EB" w14:textId="77777777" w:rsidTr="00B51BE3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F5ABCA7" w14:textId="77777777" w:rsidR="00DE376C" w:rsidRPr="00500423" w:rsidRDefault="00DE376C" w:rsidP="0053350F">
                  <w:pPr>
                    <w:rPr>
                      <w:sz w:val="24"/>
                      <w:szCs w:val="24"/>
                    </w:rPr>
                  </w:pPr>
                  <w:r w:rsidRPr="00500423">
                    <w:rPr>
                      <w:sz w:val="24"/>
                      <w:szCs w:val="24"/>
                    </w:rPr>
                    <w:t>Cabinet Construction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7042684" w14:textId="77777777" w:rsidR="00DE376C" w:rsidRDefault="00DE376C" w:rsidP="0053350F">
                  <w:r>
                    <w:t>Extruded aluminum frame, 2.5” deep</w:t>
                  </w:r>
                </w:p>
                <w:p w14:paraId="1546533F" w14:textId="77777777" w:rsidR="00DE376C" w:rsidRDefault="00DE376C" w:rsidP="0053350F">
                  <w:r>
                    <w:t>1/8” thick, impact resistant, polycarbonate face</w:t>
                  </w:r>
                </w:p>
                <w:p w14:paraId="45F461B1" w14:textId="77777777" w:rsidR="00DE376C" w:rsidRDefault="00DE376C" w:rsidP="0053350F">
                  <w:r>
                    <w:t xml:space="preserve">Standard finish: </w:t>
                  </w:r>
                  <w:proofErr w:type="spellStart"/>
                  <w:r>
                    <w:t>Duranodic</w:t>
                  </w:r>
                  <w:proofErr w:type="spellEnd"/>
                  <w:r>
                    <w:t xml:space="preserve"> Bronze. Custom paint colors available.</w:t>
                  </w:r>
                </w:p>
              </w:tc>
            </w:tr>
            <w:tr w:rsidR="00E551DF" w14:paraId="1072F496" w14:textId="77777777" w:rsidTr="00B51BE3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7A1A551" w14:textId="77777777" w:rsidR="00E551DF" w:rsidRPr="00E551DF" w:rsidRDefault="00E551DF" w:rsidP="002E7F55">
                  <w:pPr>
                    <w:rPr>
                      <w:b/>
                      <w:sz w:val="24"/>
                      <w:szCs w:val="24"/>
                    </w:rPr>
                  </w:pPr>
                  <w:r>
                    <w:t>Parking System Compatibility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4FB8D7" w14:textId="77777777" w:rsidR="00E551DF" w:rsidRDefault="00E551DF" w:rsidP="00E551DF">
                  <w:r>
                    <w:t>Signal-Tech RedStorm Parking Guidance System and these 3</w:t>
                  </w:r>
                  <w:r w:rsidRPr="00320381">
                    <w:rPr>
                      <w:vertAlign w:val="superscript"/>
                    </w:rPr>
                    <w:t>rd</w:t>
                  </w:r>
                  <w:r>
                    <w:t>-party parking systems:</w:t>
                  </w:r>
                </w:p>
              </w:tc>
            </w:tr>
            <w:tr w:rsidR="00E551DF" w14:paraId="525BEFB3" w14:textId="77777777" w:rsidTr="00B51BE3">
              <w:trPr>
                <w:trHeight w:val="1709"/>
              </w:trPr>
              <w:tc>
                <w:tcPr>
                  <w:tcW w:w="0" w:type="auto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1DE839" w14:textId="77777777" w:rsidR="00E551DF" w:rsidRPr="00E551DF" w:rsidRDefault="00E551DF" w:rsidP="0053350F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2A25C" w14:textId="77777777" w:rsidR="00E551DF" w:rsidRDefault="00E551DF" w:rsidP="00B51BE3">
                  <w:r>
                    <w:t>Amano</w:t>
                  </w:r>
                </w:p>
                <w:p w14:paraId="6DFB5A1E" w14:textId="77777777" w:rsidR="00E551DF" w:rsidRDefault="000904BC" w:rsidP="00B51BE3">
                  <w:r>
                    <w:t>Carlo Gavazzi</w:t>
                  </w:r>
                </w:p>
                <w:p w14:paraId="5EBD21AA" w14:textId="77777777" w:rsidR="00E551DF" w:rsidRDefault="00E551DF" w:rsidP="00B51BE3">
                  <w:r>
                    <w:t>Eco Lighting Solutions</w:t>
                  </w:r>
                </w:p>
                <w:p w14:paraId="18C15ED6" w14:textId="77777777" w:rsidR="00E551DF" w:rsidRDefault="00E551DF" w:rsidP="00B51BE3">
                  <w:r>
                    <w:t>HUB Parking</w:t>
                  </w:r>
                </w:p>
                <w:p w14:paraId="4D5FF6AE" w14:textId="77777777" w:rsidR="00E551DF" w:rsidRDefault="00E551DF" w:rsidP="00B51BE3">
                  <w:r>
                    <w:t>Q-Free</w:t>
                  </w:r>
                </w:p>
                <w:p w14:paraId="7587613A" w14:textId="77777777" w:rsidR="00E551DF" w:rsidRDefault="00E551DF" w:rsidP="00B51BE3">
                  <w:proofErr w:type="spellStart"/>
                  <w:r>
                    <w:t>Scheidt</w:t>
                  </w:r>
                  <w:proofErr w:type="spellEnd"/>
                  <w:r>
                    <w:t xml:space="preserve"> &amp; Bachmann</w:t>
                  </w:r>
                </w:p>
                <w:p w14:paraId="65A9DD1D" w14:textId="77777777" w:rsidR="00B51BE3" w:rsidRDefault="00B51BE3" w:rsidP="00B51BE3">
                  <w:proofErr w:type="spellStart"/>
                  <w:r>
                    <w:t>EnSight</w:t>
                  </w:r>
                  <w:proofErr w:type="spellEnd"/>
                  <w:r>
                    <w:t xml:space="preserve"> Technologies</w:t>
                  </w:r>
                </w:p>
                <w:p w14:paraId="409482DE" w14:textId="77777777" w:rsidR="00CC0B2D" w:rsidRDefault="00CC0B2D" w:rsidP="00B51BE3">
                  <w:proofErr w:type="spellStart"/>
                  <w:r>
                    <w:t>Kenall</w:t>
                  </w:r>
                  <w:proofErr w:type="spellEnd"/>
                </w:p>
                <w:p w14:paraId="1C6D569E" w14:textId="77777777" w:rsidR="000904BC" w:rsidRDefault="000904BC" w:rsidP="00B51BE3">
                  <w:r>
                    <w:t>DESIGNA</w:t>
                  </w:r>
                </w:p>
                <w:p w14:paraId="29A0A851" w14:textId="77777777" w:rsidR="000904BC" w:rsidRDefault="000904BC" w:rsidP="00B51BE3">
                  <w:r>
                    <w:t xml:space="preserve">Genetec </w:t>
                  </w:r>
                  <w:proofErr w:type="spellStart"/>
                  <w:r>
                    <w:t>AutoVu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65F8C1" w14:textId="77777777" w:rsidR="00E551DF" w:rsidRDefault="00E551DF" w:rsidP="00B51BE3">
                  <w:r>
                    <w:t>Sentry</w:t>
                  </w:r>
                </w:p>
                <w:p w14:paraId="4A04C8F9" w14:textId="77777777" w:rsidR="00E551DF" w:rsidRDefault="00E551DF" w:rsidP="00B51BE3">
                  <w:r>
                    <w:t>SKIDATA</w:t>
                  </w:r>
                </w:p>
                <w:p w14:paraId="349ECF86" w14:textId="77777777" w:rsidR="00E551DF" w:rsidRDefault="00E551DF" w:rsidP="00B51BE3">
                  <w:r>
                    <w:t>T2 Systems</w:t>
                  </w:r>
                </w:p>
                <w:p w14:paraId="4B8C2411" w14:textId="77777777" w:rsidR="00E551DF" w:rsidRDefault="00E551DF" w:rsidP="00B51BE3">
                  <w:r>
                    <w:t xml:space="preserve">TIBA </w:t>
                  </w:r>
                </w:p>
                <w:p w14:paraId="5A507897" w14:textId="77777777" w:rsidR="00E551DF" w:rsidRDefault="00E551DF" w:rsidP="00B51BE3">
                  <w:r>
                    <w:t>WPS</w:t>
                  </w:r>
                </w:p>
                <w:p w14:paraId="5C2F1F95" w14:textId="77777777" w:rsidR="00E551DF" w:rsidRDefault="00E551DF" w:rsidP="00B51BE3">
                  <w:r>
                    <w:t>3M|Federal APD</w:t>
                  </w:r>
                </w:p>
                <w:p w14:paraId="16DB7218" w14:textId="77777777" w:rsidR="00B51BE3" w:rsidRDefault="00B51BE3" w:rsidP="00B51BE3">
                  <w:r>
                    <w:t xml:space="preserve">APS </w:t>
                  </w:r>
                  <w:r w:rsidRPr="00B51BE3">
                    <w:t>(Access Professional Systems)</w:t>
                  </w:r>
                </w:p>
                <w:p w14:paraId="7BB4C9D3" w14:textId="77777777" w:rsidR="000904BC" w:rsidRDefault="000904BC" w:rsidP="00B51BE3">
                  <w:r>
                    <w:t>All Traffic Solutions</w:t>
                  </w:r>
                </w:p>
                <w:p w14:paraId="61AF8BF3" w14:textId="77777777" w:rsidR="000904BC" w:rsidRDefault="000904BC" w:rsidP="00B51BE3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Japa</w:t>
                  </w:r>
                  <w:proofErr w:type="spellEnd"/>
                </w:p>
                <w:p w14:paraId="2698E37D" w14:textId="77777777" w:rsidR="000904BC" w:rsidRPr="00B51BE3" w:rsidRDefault="00E3656D" w:rsidP="00B51BE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eleven-x</w:t>
                  </w:r>
                </w:p>
              </w:tc>
            </w:tr>
          </w:tbl>
          <w:p w14:paraId="2C079632" w14:textId="77777777" w:rsidR="0053350F" w:rsidRPr="00B16DF8" w:rsidRDefault="0053350F" w:rsidP="0053350F"/>
        </w:tc>
      </w:tr>
    </w:tbl>
    <w:p w14:paraId="0BB81B9A" w14:textId="77777777" w:rsidR="00E73D42" w:rsidRPr="00E73D42" w:rsidRDefault="00E73D42" w:rsidP="00E551D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E73D42" w:rsidRPr="00E73D42" w:rsidSect="00E36E4B">
      <w:headerReference w:type="default" r:id="rId9"/>
      <w:footerReference w:type="default" r:id="rId10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7D4B6" w14:textId="77777777" w:rsidR="004F7E2E" w:rsidRDefault="004F7E2E" w:rsidP="00227DEE">
      <w:pPr>
        <w:spacing w:after="0" w:line="240" w:lineRule="auto"/>
      </w:pPr>
      <w:r>
        <w:separator/>
      </w:r>
    </w:p>
  </w:endnote>
  <w:endnote w:type="continuationSeparator" w:id="0">
    <w:p w14:paraId="04A4DF2E" w14:textId="77777777" w:rsidR="004F7E2E" w:rsidRDefault="004F7E2E" w:rsidP="00227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082C6" w14:textId="77777777" w:rsidR="00A61DC3" w:rsidRDefault="00A61DC3">
    <w:pPr>
      <w:pStyle w:val="Footer"/>
      <w:jc w:val="center"/>
    </w:pPr>
  </w:p>
  <w:p w14:paraId="6915A398" w14:textId="77777777" w:rsidR="00A61DC3" w:rsidRDefault="00A61DC3" w:rsidP="00227DEE">
    <w:pPr>
      <w:pStyle w:val="Footer"/>
    </w:pPr>
    <w:r>
      <w:t>4985 Pittsburgh Ave., Erie</w:t>
    </w:r>
    <w:r w:rsidR="00C81E81">
      <w:t>, PA 16509 -- Toll-free: 877-547</w:t>
    </w:r>
    <w:r>
      <w:t xml:space="preserve">-9900 -- </w:t>
    </w:r>
    <w:hyperlink r:id="rId1" w:history="1">
      <w:r w:rsidRPr="00600E2F">
        <w:rPr>
          <w:rStyle w:val="Hyperlink"/>
        </w:rPr>
        <w:t>sales@signal-tech.com</w:t>
      </w:r>
    </w:hyperlink>
    <w:r w:rsidR="00320381">
      <w:t xml:space="preserve">       </w:t>
    </w:r>
    <w:r w:rsidR="00C81E81">
      <w:t>Jan 2020</w:t>
    </w:r>
  </w:p>
  <w:p w14:paraId="7E31EADC" w14:textId="77777777" w:rsidR="00A61DC3" w:rsidRDefault="00A61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7AD1D" w14:textId="77777777" w:rsidR="004F7E2E" w:rsidRDefault="004F7E2E" w:rsidP="00227DEE">
      <w:pPr>
        <w:spacing w:after="0" w:line="240" w:lineRule="auto"/>
      </w:pPr>
      <w:r>
        <w:separator/>
      </w:r>
    </w:p>
  </w:footnote>
  <w:footnote w:type="continuationSeparator" w:id="0">
    <w:p w14:paraId="34A890F7" w14:textId="77777777" w:rsidR="004F7E2E" w:rsidRDefault="004F7E2E" w:rsidP="00227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B6716" w14:textId="77777777" w:rsidR="00A61DC3" w:rsidRDefault="00A61DC3">
    <w:pPr>
      <w:pStyle w:val="Header"/>
    </w:pPr>
    <w:r>
      <w:rPr>
        <w:noProof/>
      </w:rPr>
      <w:drawing>
        <wp:inline distT="0" distB="0" distL="0" distR="0" wp14:anchorId="4224AEA9" wp14:editId="144D4F75">
          <wp:extent cx="1256653" cy="419100"/>
          <wp:effectExtent l="19050" t="0" r="647" b="0"/>
          <wp:docPr id="1" name="Picture 0" descr="STLogotype GY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Logotype GY CMY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6550" cy="419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2E952E" w14:textId="77777777" w:rsidR="00A61DC3" w:rsidRDefault="00A61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A78AC"/>
    <w:multiLevelType w:val="hybridMultilevel"/>
    <w:tmpl w:val="41C6D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12C3A"/>
    <w:multiLevelType w:val="multilevel"/>
    <w:tmpl w:val="B000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D65C1D"/>
    <w:multiLevelType w:val="hybridMultilevel"/>
    <w:tmpl w:val="2C6C7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BE"/>
    <w:rsid w:val="00020D68"/>
    <w:rsid w:val="00022B0C"/>
    <w:rsid w:val="0003386D"/>
    <w:rsid w:val="000904BC"/>
    <w:rsid w:val="000F0BEB"/>
    <w:rsid w:val="000F3433"/>
    <w:rsid w:val="001363F3"/>
    <w:rsid w:val="00142577"/>
    <w:rsid w:val="0015104F"/>
    <w:rsid w:val="00177266"/>
    <w:rsid w:val="001800D7"/>
    <w:rsid w:val="00227DEE"/>
    <w:rsid w:val="00260292"/>
    <w:rsid w:val="002766E2"/>
    <w:rsid w:val="002948F4"/>
    <w:rsid w:val="002F7303"/>
    <w:rsid w:val="00305AF4"/>
    <w:rsid w:val="0031177F"/>
    <w:rsid w:val="00320381"/>
    <w:rsid w:val="00334592"/>
    <w:rsid w:val="003471CF"/>
    <w:rsid w:val="003520A4"/>
    <w:rsid w:val="003E6C28"/>
    <w:rsid w:val="003F3801"/>
    <w:rsid w:val="004907E3"/>
    <w:rsid w:val="0049535C"/>
    <w:rsid w:val="004F7E2E"/>
    <w:rsid w:val="00500423"/>
    <w:rsid w:val="00507475"/>
    <w:rsid w:val="005109C6"/>
    <w:rsid w:val="005145EA"/>
    <w:rsid w:val="0053350F"/>
    <w:rsid w:val="00611A10"/>
    <w:rsid w:val="00611AB0"/>
    <w:rsid w:val="00611FE7"/>
    <w:rsid w:val="0063774E"/>
    <w:rsid w:val="0064250A"/>
    <w:rsid w:val="00655E39"/>
    <w:rsid w:val="0065750A"/>
    <w:rsid w:val="00665EBE"/>
    <w:rsid w:val="006C64A8"/>
    <w:rsid w:val="006E4A93"/>
    <w:rsid w:val="006F2C9A"/>
    <w:rsid w:val="007673EA"/>
    <w:rsid w:val="00770729"/>
    <w:rsid w:val="00845BFC"/>
    <w:rsid w:val="008A453B"/>
    <w:rsid w:val="00982AD0"/>
    <w:rsid w:val="009A0F88"/>
    <w:rsid w:val="00A177E6"/>
    <w:rsid w:val="00A2655E"/>
    <w:rsid w:val="00A423B0"/>
    <w:rsid w:val="00A4780A"/>
    <w:rsid w:val="00A61DC3"/>
    <w:rsid w:val="00B16DF8"/>
    <w:rsid w:val="00B51BE3"/>
    <w:rsid w:val="00B52D47"/>
    <w:rsid w:val="00B724DA"/>
    <w:rsid w:val="00BC2FBB"/>
    <w:rsid w:val="00BF49CD"/>
    <w:rsid w:val="00C81E81"/>
    <w:rsid w:val="00CA2456"/>
    <w:rsid w:val="00CB148F"/>
    <w:rsid w:val="00CC04DD"/>
    <w:rsid w:val="00CC0B2D"/>
    <w:rsid w:val="00CD5AA0"/>
    <w:rsid w:val="00CF6312"/>
    <w:rsid w:val="00D5688B"/>
    <w:rsid w:val="00DE376C"/>
    <w:rsid w:val="00E0227A"/>
    <w:rsid w:val="00E3656D"/>
    <w:rsid w:val="00E36E4B"/>
    <w:rsid w:val="00E3746B"/>
    <w:rsid w:val="00E551DF"/>
    <w:rsid w:val="00E56C3B"/>
    <w:rsid w:val="00E73D42"/>
    <w:rsid w:val="00EA6BB4"/>
    <w:rsid w:val="00F61D45"/>
    <w:rsid w:val="00F832CC"/>
    <w:rsid w:val="00FA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18FD9"/>
  <w15:docId w15:val="{68E04899-BEE4-0947-AE90-147C85E0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73EA"/>
  </w:style>
  <w:style w:type="paragraph" w:styleId="Heading4">
    <w:name w:val="heading 4"/>
    <w:basedOn w:val="Normal"/>
    <w:link w:val="Heading4Char"/>
    <w:uiPriority w:val="9"/>
    <w:qFormat/>
    <w:rsid w:val="001425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5EBE"/>
    <w:pPr>
      <w:spacing w:after="0" w:line="240" w:lineRule="auto"/>
    </w:pPr>
  </w:style>
  <w:style w:type="table" w:styleId="TableGrid">
    <w:name w:val="Table Grid"/>
    <w:basedOn w:val="TableNormal"/>
    <w:uiPriority w:val="59"/>
    <w:rsid w:val="00665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602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29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14257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42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257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27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DEE"/>
  </w:style>
  <w:style w:type="paragraph" w:styleId="Footer">
    <w:name w:val="footer"/>
    <w:basedOn w:val="Normal"/>
    <w:link w:val="FooterChar"/>
    <w:uiPriority w:val="99"/>
    <w:unhideWhenUsed/>
    <w:rsid w:val="00227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DEE"/>
  </w:style>
  <w:style w:type="character" w:styleId="Hyperlink">
    <w:name w:val="Hyperlink"/>
    <w:basedOn w:val="DefaultParagraphFont"/>
    <w:uiPriority w:val="99"/>
    <w:unhideWhenUsed/>
    <w:rsid w:val="00227D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2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2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les@signal-tech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713</Words>
  <Characters>3879</Characters>
  <Application>Microsoft Office Word</Application>
  <DocSecurity>0</DocSecurity>
  <Lines>73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Signal-Tech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deborahr</dc:creator>
  <cp:lastModifiedBy>ashley v</cp:lastModifiedBy>
  <cp:revision>2</cp:revision>
  <dcterms:created xsi:type="dcterms:W3CDTF">2024-10-15T20:26:00Z</dcterms:created>
  <dcterms:modified xsi:type="dcterms:W3CDTF">2024-10-15T20:26:00Z</dcterms:modified>
</cp:coreProperties>
</file>